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jc w:val="center"/>
        <w:rPr>
          <w:rFonts w:ascii="Times New Roman" w:hAnsi="Times New Roman" w:eastAsia="宋体" w:cs="Times New Roman"/>
          <w:b/>
          <w:sz w:val="44"/>
          <w:szCs w:val="44"/>
        </w:rPr>
      </w:pPr>
    </w:p>
    <w:p>
      <w:pPr>
        <w:jc w:val="center"/>
        <w:rPr>
          <w:rFonts w:ascii="Times New Roman" w:hAnsi="Times New Roman" w:eastAsia="宋体" w:cs="Times New Roman"/>
          <w:b/>
          <w:sz w:val="44"/>
          <w:szCs w:val="44"/>
        </w:rPr>
      </w:pPr>
    </w:p>
    <w:p>
      <w:pPr>
        <w:jc w:val="center"/>
        <w:rPr>
          <w:rFonts w:ascii="Times New Roman" w:hAnsi="Times New Roman" w:eastAsia="宋体" w:cs="Times New Roman"/>
          <w:b/>
          <w:sz w:val="44"/>
          <w:szCs w:val="44"/>
        </w:rPr>
      </w:pPr>
    </w:p>
    <w:p>
      <w:pPr>
        <w:jc w:val="center"/>
        <w:rPr>
          <w:rFonts w:hint="eastAsia" w:ascii="Times New Roman" w:hAnsi="Times New Roman" w:eastAsia="宋体" w:cs="Times New Roman"/>
          <w:b/>
          <w:sz w:val="52"/>
          <w:szCs w:val="52"/>
        </w:rPr>
      </w:pPr>
      <w:r>
        <w:rPr>
          <w:rFonts w:hint="eastAsia" w:ascii="Times New Roman" w:hAnsi="Times New Roman" w:eastAsia="宋体" w:cs="Times New Roman"/>
          <w:b/>
          <w:sz w:val="52"/>
          <w:szCs w:val="52"/>
        </w:rPr>
        <w:t>导轨式胶轮系统</w:t>
      </w:r>
    </w:p>
    <w:p>
      <w:pPr>
        <w:jc w:val="center"/>
        <w:rPr>
          <w:rFonts w:hint="default" w:ascii="Times New Roman" w:hAnsi="Times New Roman" w:eastAsia="宋体" w:cs="Times New Roman"/>
          <w:b/>
          <w:sz w:val="52"/>
          <w:szCs w:val="52"/>
          <w:lang w:val="en-US" w:eastAsia="zh-CN"/>
        </w:rPr>
      </w:pPr>
      <w:r>
        <w:rPr>
          <w:rFonts w:hint="eastAsia" w:ascii="Times New Roman" w:hAnsi="Times New Roman" w:eastAsia="宋体" w:cs="Times New Roman"/>
          <w:b/>
          <w:sz w:val="52"/>
          <w:szCs w:val="52"/>
          <w:lang w:val="en-US" w:eastAsia="zh-CN"/>
        </w:rPr>
        <w:t>正式运营安全评估规范</w:t>
      </w:r>
    </w:p>
    <w:p>
      <w:pPr>
        <w:jc w:val="right"/>
        <w:rPr>
          <w:rFonts w:ascii="Times New Roman" w:hAnsi="Times New Roman" w:eastAsia="宋体" w:cs="Times New Roman"/>
          <w:b/>
          <w:sz w:val="52"/>
          <w:szCs w:val="52"/>
        </w:rPr>
      </w:pPr>
      <w:r>
        <w:rPr>
          <w:rFonts w:ascii="Times New Roman" w:hAnsi="Times New Roman" w:eastAsia="宋体" w:cs="Times New Roman"/>
          <w:b/>
          <w:sz w:val="52"/>
          <w:szCs w:val="52"/>
        </w:rPr>
        <w:t>——编制说明</w:t>
      </w: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jc w:val="center"/>
        <w:rPr>
          <w:rFonts w:ascii="Times New Roman" w:hAnsi="Times New Roman" w:eastAsia="宋体" w:cs="Times New Roman"/>
          <w:b/>
          <w:sz w:val="36"/>
          <w:szCs w:val="44"/>
        </w:rPr>
      </w:pPr>
    </w:p>
    <w:p>
      <w:pPr>
        <w:jc w:val="center"/>
        <w:rPr>
          <w:rFonts w:ascii="Times New Roman" w:hAnsi="Times New Roman" w:eastAsia="宋体" w:cs="Times New Roman"/>
          <w:b/>
          <w:sz w:val="32"/>
          <w:szCs w:val="44"/>
        </w:rPr>
      </w:pPr>
      <w:r>
        <w:rPr>
          <w:rFonts w:ascii="Times New Roman" w:hAnsi="Times New Roman" w:eastAsia="宋体" w:cs="Times New Roman"/>
          <w:b/>
          <w:sz w:val="32"/>
          <w:szCs w:val="44"/>
        </w:rPr>
        <w:t>《</w:t>
      </w:r>
      <w:r>
        <w:rPr>
          <w:rFonts w:hint="eastAsia" w:ascii="Times New Roman" w:hAnsi="Times New Roman" w:eastAsia="宋体" w:cs="Times New Roman"/>
          <w:b/>
          <w:sz w:val="32"/>
          <w:szCs w:val="44"/>
        </w:rPr>
        <w:t>导轨式胶轮系统</w:t>
      </w:r>
      <w:r>
        <w:rPr>
          <w:rFonts w:hint="eastAsia" w:ascii="Times New Roman" w:hAnsi="Times New Roman" w:eastAsia="宋体" w:cs="Times New Roman"/>
          <w:b/>
          <w:sz w:val="32"/>
          <w:szCs w:val="44"/>
          <w:lang w:val="en-US" w:eastAsia="zh-CN"/>
        </w:rPr>
        <w:t>正式运营安全评估规范</w:t>
      </w:r>
      <w:r>
        <w:rPr>
          <w:rFonts w:ascii="Times New Roman" w:hAnsi="Times New Roman" w:eastAsia="宋体" w:cs="Times New Roman"/>
          <w:b/>
          <w:sz w:val="32"/>
          <w:szCs w:val="44"/>
        </w:rPr>
        <w:t>》编制组</w:t>
      </w:r>
    </w:p>
    <w:p>
      <w:pPr>
        <w:jc w:val="center"/>
        <w:rPr>
          <w:rFonts w:ascii="Times New Roman" w:hAnsi="Times New Roman" w:eastAsia="宋体" w:cs="Times New Roman"/>
          <w:b/>
          <w:sz w:val="32"/>
          <w:szCs w:val="44"/>
        </w:rPr>
        <w:sectPr>
          <w:footerReference r:id="rId3" w:type="default"/>
          <w:pgSz w:w="11906" w:h="16838"/>
          <w:pgMar w:top="1440" w:right="1800" w:bottom="1440" w:left="1800" w:header="851" w:footer="992" w:gutter="0"/>
          <w:pgNumType w:start="1"/>
          <w:cols w:space="425" w:num="1"/>
          <w:docGrid w:type="lines" w:linePitch="312" w:charSpace="0"/>
        </w:sectPr>
      </w:pPr>
      <w:r>
        <w:rPr>
          <w:rFonts w:ascii="Times New Roman" w:hAnsi="Times New Roman" w:eastAsia="宋体" w:cs="Times New Roman"/>
          <w:b/>
          <w:sz w:val="32"/>
          <w:szCs w:val="44"/>
        </w:rPr>
        <w:t>202</w:t>
      </w:r>
      <w:r>
        <w:rPr>
          <w:rFonts w:hint="default" w:ascii="Times New Roman" w:hAnsi="Times New Roman" w:eastAsia="宋体" w:cs="Times New Roman"/>
          <w:b/>
          <w:sz w:val="32"/>
          <w:szCs w:val="44"/>
          <w:lang w:val="en-US"/>
        </w:rPr>
        <w:t>2</w:t>
      </w:r>
      <w:r>
        <w:rPr>
          <w:rFonts w:ascii="Times New Roman" w:hAnsi="Times New Roman" w:eastAsia="宋体" w:cs="Times New Roman"/>
          <w:b/>
          <w:sz w:val="32"/>
          <w:szCs w:val="44"/>
        </w:rPr>
        <w:t>年</w:t>
      </w:r>
      <w:r>
        <w:rPr>
          <w:rFonts w:hint="default" w:ascii="Times New Roman" w:hAnsi="Times New Roman" w:eastAsia="宋体" w:cs="Times New Roman"/>
          <w:b/>
          <w:sz w:val="32"/>
          <w:szCs w:val="44"/>
          <w:lang w:val="en-US"/>
        </w:rPr>
        <w:t>7</w:t>
      </w:r>
      <w:r>
        <w:rPr>
          <w:rFonts w:ascii="Times New Roman" w:hAnsi="Times New Roman" w:eastAsia="宋体" w:cs="Times New Roman"/>
          <w:b/>
          <w:sz w:val="32"/>
          <w:szCs w:val="44"/>
        </w:rPr>
        <w:t>月</w:t>
      </w:r>
    </w:p>
    <w:p>
      <w:pPr>
        <w:widowControl/>
        <w:spacing w:before="156" w:beforeLines="50" w:after="156" w:afterLines="50"/>
        <w:jc w:val="center"/>
        <w:rPr>
          <w:rFonts w:ascii="Times New Roman" w:hAnsi="Times New Roman" w:eastAsia="宋体" w:cs="Times New Roman"/>
          <w:b/>
          <w:sz w:val="32"/>
          <w:szCs w:val="24"/>
        </w:rPr>
      </w:pPr>
      <w:r>
        <w:rPr>
          <w:rFonts w:ascii="Times New Roman" w:hAnsi="Times New Roman" w:eastAsia="宋体" w:cs="Times New Roman"/>
          <w:b/>
          <w:sz w:val="32"/>
          <w:szCs w:val="24"/>
        </w:rPr>
        <w:t>目  录</w:t>
      </w:r>
    </w:p>
    <w:p>
      <w:pPr>
        <w:pStyle w:val="7"/>
        <w:tabs>
          <w:tab w:val="right" w:leader="dot" w:pos="8296"/>
        </w:tabs>
        <w:spacing w:line="360" w:lineRule="auto"/>
        <w:rPr>
          <w:rFonts w:ascii="宋体" w:hAnsi="宋体" w:eastAsia="宋体"/>
          <w:sz w:val="24"/>
          <w:szCs w:val="24"/>
        </w:rPr>
      </w:pPr>
      <w:r>
        <w:rPr>
          <w:rFonts w:ascii="宋体" w:hAnsi="宋体" w:eastAsia="宋体" w:cs="Times New Roman"/>
          <w:sz w:val="24"/>
          <w:szCs w:val="24"/>
        </w:rPr>
        <w:fldChar w:fldCharType="begin"/>
      </w:r>
      <w:r>
        <w:rPr>
          <w:rFonts w:ascii="宋体" w:hAnsi="宋体" w:eastAsia="宋体" w:cs="Times New Roman"/>
          <w:sz w:val="24"/>
          <w:szCs w:val="24"/>
        </w:rPr>
        <w:instrText xml:space="preserve"> TOC \o "1-1" \h \z \u </w:instrText>
      </w:r>
      <w:r>
        <w:rPr>
          <w:rFonts w:ascii="宋体" w:hAnsi="宋体" w:eastAsia="宋体" w:cs="Times New Roman"/>
          <w:sz w:val="24"/>
          <w:szCs w:val="24"/>
        </w:rPr>
        <w:fldChar w:fldCharType="separate"/>
      </w:r>
      <w:r>
        <w:fldChar w:fldCharType="begin"/>
      </w:r>
      <w:r>
        <w:instrText xml:space="preserve"> HYPERLINK \l "_Toc74140566" </w:instrText>
      </w:r>
      <w:r>
        <w:fldChar w:fldCharType="separate"/>
      </w:r>
      <w:r>
        <w:rPr>
          <w:rStyle w:val="12"/>
          <w:rFonts w:hint="eastAsia" w:ascii="宋体" w:hAnsi="宋体" w:eastAsia="宋体" w:cs="Times New Roman"/>
          <w:sz w:val="24"/>
          <w:szCs w:val="24"/>
        </w:rPr>
        <w:t>一、任务来源</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_Toc74140566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"_Toc74140567" </w:instrText>
      </w:r>
      <w:r>
        <w:fldChar w:fldCharType="separate"/>
      </w:r>
      <w:r>
        <w:rPr>
          <w:rStyle w:val="12"/>
          <w:rFonts w:hint="eastAsia" w:ascii="宋体" w:hAnsi="宋体" w:eastAsia="宋体" w:cs="Times New Roman"/>
          <w:sz w:val="24"/>
          <w:szCs w:val="24"/>
        </w:rPr>
        <w:t>二、标准制定的必要性</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_Toc74140567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"_Toc74140568" </w:instrText>
      </w:r>
      <w:r>
        <w:fldChar w:fldCharType="separate"/>
      </w:r>
      <w:r>
        <w:rPr>
          <w:rStyle w:val="12"/>
          <w:rFonts w:hint="eastAsia" w:ascii="宋体" w:hAnsi="宋体" w:eastAsia="宋体" w:cs="Times New Roman"/>
          <w:sz w:val="24"/>
          <w:szCs w:val="24"/>
        </w:rPr>
        <w:t>三、主要工作过程</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_Toc74140568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"_Toc74140569" </w:instrText>
      </w:r>
      <w:r>
        <w:fldChar w:fldCharType="separate"/>
      </w:r>
      <w:r>
        <w:rPr>
          <w:rStyle w:val="12"/>
          <w:rFonts w:hint="eastAsia" w:ascii="宋体" w:hAnsi="宋体" w:eastAsia="宋体" w:cs="Times New Roman"/>
          <w:sz w:val="24"/>
          <w:szCs w:val="24"/>
        </w:rPr>
        <w:t>四、国内外相关情况说明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_Toc74140569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"_Toc74140570" </w:instrText>
      </w:r>
      <w:r>
        <w:fldChar w:fldCharType="separate"/>
      </w:r>
      <w:r>
        <w:rPr>
          <w:rStyle w:val="12"/>
          <w:rFonts w:hint="eastAsia" w:ascii="宋体" w:hAnsi="宋体" w:eastAsia="宋体" w:cs="Times New Roman"/>
          <w:sz w:val="24"/>
          <w:szCs w:val="24"/>
        </w:rPr>
        <w:t>五、相关法律法规及标准情况说明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_Toc74140570 \h </w:instrText>
      </w:r>
      <w:r>
        <w:rPr>
          <w:rFonts w:ascii="宋体" w:hAnsi="宋体" w:eastAsia="宋体"/>
          <w:sz w:val="24"/>
          <w:szCs w:val="24"/>
        </w:rPr>
        <w:fldChar w:fldCharType="separate"/>
      </w:r>
      <w:r>
        <w:rPr>
          <w:rFonts w:ascii="宋体" w:hAnsi="宋体" w:eastAsia="宋体"/>
          <w:sz w:val="24"/>
          <w:szCs w:val="24"/>
        </w:rPr>
        <w:t>4</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"_Toc74140571" </w:instrText>
      </w:r>
      <w:r>
        <w:fldChar w:fldCharType="separate"/>
      </w:r>
      <w:r>
        <w:rPr>
          <w:rStyle w:val="12"/>
          <w:rFonts w:hint="eastAsia" w:ascii="宋体" w:hAnsi="宋体" w:eastAsia="宋体" w:cs="Times New Roman"/>
          <w:sz w:val="24"/>
          <w:szCs w:val="24"/>
        </w:rPr>
        <w:t>六、编制内容及说明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_Toc74140571 \h </w:instrText>
      </w:r>
      <w:r>
        <w:rPr>
          <w:rFonts w:ascii="宋体" w:hAnsi="宋体" w:eastAsia="宋体"/>
          <w:sz w:val="24"/>
          <w:szCs w:val="24"/>
        </w:rPr>
        <w:fldChar w:fldCharType="separate"/>
      </w:r>
      <w:r>
        <w:rPr>
          <w:rFonts w:ascii="宋体" w:hAnsi="宋体" w:eastAsia="宋体"/>
          <w:sz w:val="24"/>
          <w:szCs w:val="24"/>
        </w:rPr>
        <w:t>4</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"_Toc74140572" </w:instrText>
      </w:r>
      <w:r>
        <w:fldChar w:fldCharType="separate"/>
      </w:r>
      <w:r>
        <w:rPr>
          <w:rStyle w:val="12"/>
          <w:rFonts w:hint="eastAsia" w:ascii="宋体" w:hAnsi="宋体" w:eastAsia="宋体" w:cs="Times New Roman"/>
          <w:sz w:val="24"/>
          <w:szCs w:val="24"/>
        </w:rPr>
        <w:t>七、主要条文说明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_Toc74140572 \h </w:instrText>
      </w:r>
      <w:r>
        <w:rPr>
          <w:rFonts w:ascii="宋体" w:hAnsi="宋体" w:eastAsia="宋体"/>
          <w:sz w:val="24"/>
          <w:szCs w:val="24"/>
        </w:rPr>
        <w:fldChar w:fldCharType="separate"/>
      </w:r>
      <w:r>
        <w:rPr>
          <w:rFonts w:ascii="宋体" w:hAnsi="宋体" w:eastAsia="宋体"/>
          <w:sz w:val="24"/>
          <w:szCs w:val="24"/>
        </w:rPr>
        <w:t>5</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"_Toc74140573" </w:instrText>
      </w:r>
      <w:r>
        <w:fldChar w:fldCharType="separate"/>
      </w:r>
      <w:r>
        <w:rPr>
          <w:rStyle w:val="12"/>
          <w:rFonts w:hint="eastAsia" w:ascii="宋体" w:hAnsi="宋体" w:eastAsia="宋体" w:cs="Times New Roman"/>
          <w:sz w:val="24"/>
          <w:szCs w:val="24"/>
        </w:rPr>
        <w:t>八、标准实施建议</w:t>
      </w:r>
      <w:bookmarkStart w:id="14" w:name="_GoBack"/>
      <w:bookmarkEnd w:id="14"/>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_Toc74140573 \h </w:instrText>
      </w:r>
      <w:r>
        <w:rPr>
          <w:rFonts w:ascii="宋体" w:hAnsi="宋体" w:eastAsia="宋体"/>
          <w:sz w:val="24"/>
          <w:szCs w:val="24"/>
        </w:rPr>
        <w:fldChar w:fldCharType="separate"/>
      </w:r>
      <w:r>
        <w:rPr>
          <w:rFonts w:ascii="宋体" w:hAnsi="宋体" w:eastAsia="宋体"/>
          <w:sz w:val="24"/>
          <w:szCs w:val="24"/>
        </w:rPr>
        <w:t>11</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"_Toc74140574" </w:instrText>
      </w:r>
      <w:r>
        <w:fldChar w:fldCharType="separate"/>
      </w:r>
      <w:r>
        <w:rPr>
          <w:rStyle w:val="12"/>
          <w:rFonts w:hint="eastAsia" w:ascii="宋体" w:hAnsi="宋体" w:eastAsia="宋体" w:cs="Times New Roman"/>
          <w:sz w:val="24"/>
          <w:szCs w:val="24"/>
        </w:rPr>
        <w:t>九、标准起草单位及人员</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_Toc74140574 \h </w:instrText>
      </w:r>
      <w:r>
        <w:rPr>
          <w:rFonts w:ascii="宋体" w:hAnsi="宋体" w:eastAsia="宋体"/>
          <w:sz w:val="24"/>
          <w:szCs w:val="24"/>
        </w:rPr>
        <w:fldChar w:fldCharType="separate"/>
      </w:r>
      <w:r>
        <w:rPr>
          <w:rFonts w:ascii="宋体" w:hAnsi="宋体" w:eastAsia="宋体"/>
          <w:sz w:val="24"/>
          <w:szCs w:val="24"/>
        </w:rPr>
        <w:t>11</w:t>
      </w:r>
      <w:r>
        <w:rPr>
          <w:rFonts w:ascii="宋体" w:hAnsi="宋体" w:eastAsia="宋体"/>
          <w:sz w:val="24"/>
          <w:szCs w:val="24"/>
        </w:rPr>
        <w:fldChar w:fldCharType="end"/>
      </w:r>
      <w:r>
        <w:rPr>
          <w:rFonts w:ascii="宋体" w:hAnsi="宋体" w:eastAsia="宋体"/>
          <w:sz w:val="24"/>
          <w:szCs w:val="24"/>
        </w:rPr>
        <w:fldChar w:fldCharType="end"/>
      </w:r>
    </w:p>
    <w:p>
      <w:pPr>
        <w:widowControl/>
        <w:spacing w:line="360" w:lineRule="auto"/>
        <w:jc w:val="center"/>
        <w:rPr>
          <w:rFonts w:ascii="Times New Roman" w:hAnsi="Times New Roman" w:eastAsia="宋体" w:cs="Times New Roman"/>
          <w:sz w:val="24"/>
          <w:szCs w:val="24"/>
        </w:rPr>
        <w:sectPr>
          <w:headerReference r:id="rId4" w:type="default"/>
          <w:pgSz w:w="11906" w:h="16838"/>
          <w:pgMar w:top="1440" w:right="1800" w:bottom="1440" w:left="1800" w:header="851" w:footer="992" w:gutter="0"/>
          <w:pgNumType w:start="1"/>
          <w:cols w:space="425" w:num="1"/>
          <w:docGrid w:type="lines" w:linePitch="312" w:charSpace="0"/>
        </w:sectPr>
      </w:pPr>
      <w:r>
        <w:rPr>
          <w:rFonts w:ascii="宋体" w:hAnsi="宋体" w:eastAsia="宋体" w:cs="Times New Roman"/>
          <w:sz w:val="24"/>
          <w:szCs w:val="24"/>
        </w:rPr>
        <w:fldChar w:fldCharType="end"/>
      </w:r>
    </w:p>
    <w:p>
      <w:pPr>
        <w:widowControl/>
        <w:spacing w:line="360" w:lineRule="auto"/>
        <w:jc w:val="center"/>
        <w:outlineLvl w:val="0"/>
        <w:rPr>
          <w:rFonts w:ascii="Times New Roman" w:hAnsi="Times New Roman" w:eastAsia="宋体" w:cs="Times New Roman"/>
          <w:b/>
          <w:sz w:val="44"/>
          <w:szCs w:val="44"/>
        </w:rPr>
      </w:pPr>
      <w:r>
        <w:rPr>
          <w:rFonts w:hint="eastAsia" w:ascii="Times New Roman" w:hAnsi="Times New Roman" w:eastAsia="宋体" w:cs="Times New Roman"/>
          <w:b/>
          <w:sz w:val="44"/>
          <w:szCs w:val="44"/>
        </w:rPr>
        <w:t>《导轨式胶轮系统</w:t>
      </w:r>
      <w:r>
        <w:rPr>
          <w:rFonts w:hint="eastAsia" w:ascii="Times New Roman" w:hAnsi="Times New Roman" w:eastAsia="宋体" w:cs="Times New Roman"/>
          <w:b/>
          <w:sz w:val="44"/>
          <w:szCs w:val="44"/>
          <w:lang w:val="en-US" w:eastAsia="zh-CN"/>
        </w:rPr>
        <w:t>正式运营安全评估规范</w:t>
      </w:r>
      <w:r>
        <w:rPr>
          <w:rFonts w:hint="eastAsia" w:ascii="Times New Roman" w:hAnsi="Times New Roman" w:eastAsia="宋体" w:cs="Times New Roman"/>
          <w:b/>
          <w:sz w:val="44"/>
          <w:szCs w:val="44"/>
        </w:rPr>
        <w:t>》</w:t>
      </w:r>
      <w:r>
        <w:rPr>
          <w:rFonts w:ascii="Times New Roman" w:hAnsi="Times New Roman" w:eastAsia="宋体" w:cs="Times New Roman"/>
          <w:b/>
          <w:sz w:val="44"/>
          <w:szCs w:val="44"/>
        </w:rPr>
        <w:t>编制说明</w:t>
      </w:r>
    </w:p>
    <w:p>
      <w:pPr>
        <w:widowControl/>
        <w:spacing w:line="360" w:lineRule="auto"/>
        <w:jc w:val="center"/>
        <w:rPr>
          <w:rFonts w:ascii="Times New Roman" w:hAnsi="Times New Roman" w:eastAsia="宋体" w:cs="Times New Roman"/>
          <w:b/>
          <w:sz w:val="44"/>
          <w:szCs w:val="44"/>
        </w:rPr>
      </w:pPr>
    </w:p>
    <w:p>
      <w:pPr>
        <w:outlineLvl w:val="0"/>
        <w:rPr>
          <w:rFonts w:ascii="Times New Roman" w:hAnsi="Times New Roman" w:eastAsia="宋体" w:cs="Times New Roman"/>
          <w:b/>
          <w:sz w:val="28"/>
          <w:szCs w:val="28"/>
        </w:rPr>
      </w:pPr>
      <w:bookmarkStart w:id="0" w:name="_Toc74140566"/>
      <w:r>
        <w:rPr>
          <w:rFonts w:ascii="Times New Roman" w:hAnsi="Times New Roman" w:eastAsia="宋体" w:cs="Times New Roman"/>
          <w:b/>
          <w:sz w:val="28"/>
          <w:szCs w:val="28"/>
        </w:rPr>
        <w:t>一、任务来源</w:t>
      </w:r>
      <w:bookmarkEnd w:id="0"/>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近年来，我国城市轨道交通发展快速，系统制式多元化发展，越来越多城市选择应用</w:t>
      </w:r>
      <w:r>
        <w:rPr>
          <w:rFonts w:hint="eastAsia" w:ascii="宋体" w:hAnsi="宋体" w:eastAsia="宋体" w:cs="宋体"/>
          <w:sz w:val="24"/>
          <w:szCs w:val="24"/>
          <w:lang w:val="en-US" w:eastAsia="zh-CN"/>
        </w:rPr>
        <w:t>与城市经济发展水平相适应的轨道交通制式以</w:t>
      </w:r>
      <w:r>
        <w:rPr>
          <w:rFonts w:hint="eastAsia" w:ascii="宋体" w:hAnsi="宋体" w:eastAsia="宋体" w:cs="宋体"/>
          <w:sz w:val="24"/>
          <w:szCs w:val="24"/>
        </w:rPr>
        <w:t>满足城市居民</w:t>
      </w:r>
      <w:r>
        <w:rPr>
          <w:rFonts w:hint="eastAsia" w:ascii="宋体" w:hAnsi="宋体" w:eastAsia="宋体" w:cs="宋体"/>
          <w:sz w:val="24"/>
          <w:szCs w:val="24"/>
          <w:lang w:val="en-US" w:eastAsia="zh-CN"/>
        </w:rPr>
        <w:t>的</w:t>
      </w:r>
      <w:r>
        <w:rPr>
          <w:rFonts w:hint="eastAsia" w:ascii="宋体" w:hAnsi="宋体" w:eastAsia="宋体" w:cs="宋体"/>
          <w:sz w:val="24"/>
          <w:szCs w:val="24"/>
        </w:rPr>
        <w:t>日常出行需求</w:t>
      </w:r>
      <w:r>
        <w:rPr>
          <w:rFonts w:hint="eastAsia" w:ascii="宋体" w:hAnsi="宋体" w:eastAsia="宋体" w:cs="宋体"/>
          <w:sz w:val="24"/>
          <w:szCs w:val="24"/>
          <w:lang w:eastAsia="zh-CN"/>
        </w:rPr>
        <w:t>，</w:t>
      </w:r>
      <w:r>
        <w:rPr>
          <w:rFonts w:hint="eastAsia" w:ascii="宋体" w:hAnsi="宋体" w:eastAsia="宋体" w:cs="宋体"/>
          <w:sz w:val="24"/>
          <w:szCs w:val="24"/>
        </w:rPr>
        <w:t>中低运量城市轨道交通建设需求不断扩大。</w:t>
      </w:r>
      <w:r>
        <w:rPr>
          <w:rFonts w:hint="eastAsia" w:ascii="宋体" w:hAnsi="宋体" w:eastAsia="宋体" w:cs="宋体"/>
          <w:sz w:val="24"/>
          <w:szCs w:val="24"/>
          <w:lang w:val="en-US" w:eastAsia="zh-CN"/>
        </w:rPr>
        <w:t>导轨式胶轮系统（依据T/CAMET 00001—2020《城市轨道交通分类》命名）是由电驱动，采用橡胶车轮和全自动运行技术，以高架敷设方式为主，利用走行轮和导向轮，实现在轨道梁上行进和转向的新型</w:t>
      </w:r>
      <w:r>
        <w:rPr>
          <w:rFonts w:hint="eastAsia" w:ascii="宋体" w:hAnsi="宋体" w:eastAsia="宋体" w:cs="宋体"/>
          <w:sz w:val="24"/>
          <w:szCs w:val="24"/>
          <w:lang w:val="en-US" w:eastAsia="zh-CN"/>
        </w:rPr>
        <w:t>城市</w:t>
      </w:r>
      <w:r>
        <w:rPr>
          <w:rFonts w:hint="eastAsia" w:ascii="宋体" w:hAnsi="宋体" w:eastAsia="宋体" w:cs="宋体"/>
          <w:sz w:val="24"/>
          <w:szCs w:val="24"/>
          <w:lang w:val="en-US" w:eastAsia="zh-CN"/>
        </w:rPr>
        <w:t>轨道交通制式，填补了国内低运量</w:t>
      </w:r>
      <w:r>
        <w:rPr>
          <w:rFonts w:hint="eastAsia" w:ascii="宋体" w:hAnsi="宋体" w:eastAsia="宋体" w:cs="宋体"/>
          <w:sz w:val="24"/>
          <w:szCs w:val="24"/>
          <w:lang w:val="en-US" w:eastAsia="zh-CN"/>
        </w:rPr>
        <w:t>城市</w:t>
      </w:r>
      <w:r>
        <w:rPr>
          <w:rFonts w:hint="eastAsia" w:ascii="宋体" w:hAnsi="宋体" w:eastAsia="宋体" w:cs="宋体"/>
          <w:sz w:val="24"/>
          <w:szCs w:val="24"/>
          <w:lang w:val="en-US" w:eastAsia="zh-CN"/>
        </w:rPr>
        <w:t>轨道</w:t>
      </w:r>
      <w:r>
        <w:rPr>
          <w:rFonts w:hint="eastAsia" w:ascii="宋体" w:hAnsi="宋体" w:eastAsia="宋体" w:cs="宋体"/>
          <w:sz w:val="24"/>
          <w:szCs w:val="24"/>
          <w:lang w:val="en-US" w:eastAsia="zh-CN"/>
        </w:rPr>
        <w:t>交通</w:t>
      </w:r>
      <w:r>
        <w:rPr>
          <w:rFonts w:hint="eastAsia" w:ascii="宋体" w:hAnsi="宋体" w:eastAsia="宋体" w:cs="宋体"/>
          <w:sz w:val="24"/>
          <w:szCs w:val="24"/>
          <w:lang w:val="en-US" w:eastAsia="zh-CN"/>
        </w:rPr>
        <w:t>制式的空白。</w:t>
      </w:r>
    </w:p>
    <w:p>
      <w:pPr>
        <w:spacing w:line="360" w:lineRule="auto"/>
        <w:ind w:firstLine="480" w:firstLineChars="200"/>
        <w:rPr>
          <w:rFonts w:hint="eastAsia" w:ascii="宋体" w:hAnsi="宋体" w:eastAsia="宋体" w:cs="宋体"/>
          <w:strike w:val="0"/>
          <w:dstrike w:val="0"/>
          <w:sz w:val="24"/>
          <w:szCs w:val="24"/>
        </w:rPr>
      </w:pPr>
      <w:r>
        <w:rPr>
          <w:rFonts w:hint="eastAsia" w:ascii="宋体" w:hAnsi="宋体" w:eastAsia="宋体" w:cs="宋体"/>
          <w:sz w:val="24"/>
          <w:szCs w:val="24"/>
          <w:lang w:val="en-US" w:eastAsia="zh-CN"/>
        </w:rPr>
        <w:t>城市轨道交通不断发展的同时，保证轨道交通运营安全是行业发展的重中之重，是行业可持续发展的核心要务。因此，</w:t>
      </w:r>
      <w:r>
        <w:rPr>
          <w:rFonts w:hint="eastAsia" w:ascii="宋体" w:hAnsi="宋体" w:eastAsia="宋体" w:cs="宋体"/>
          <w:strike w:val="0"/>
          <w:dstrike w:val="0"/>
          <w:sz w:val="24"/>
          <w:szCs w:val="24"/>
        </w:rPr>
        <w:t>通过建立科学的运营安全评估体系，强化关键节点和重点过程安全控制，对有效保障运营安全具有重要意义。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2018年，国务院办公厅下发了《关于保障城市轨道交通安全运行的意见》（国办发〔2018〕13号</w:t>
      </w:r>
      <w:r>
        <w:rPr>
          <w:rFonts w:hint="eastAsia" w:ascii="宋体" w:hAnsi="宋体" w:eastAsia="宋体" w:cs="宋体"/>
          <w:sz w:val="24"/>
          <w:szCs w:val="24"/>
          <w:lang w:val="en-US" w:eastAsia="zh-CN"/>
        </w:rPr>
        <w:t>）</w:t>
      </w:r>
      <w:r>
        <w:rPr>
          <w:rFonts w:hint="eastAsia" w:ascii="宋体" w:hAnsi="宋体" w:eastAsia="宋体" w:cs="宋体"/>
          <w:sz w:val="24"/>
          <w:szCs w:val="24"/>
        </w:rPr>
        <w:t>，交通运输部发布了《城市轨道交通运营管理规定》（交通运输部令2018年第8号</w:t>
      </w:r>
      <w:r>
        <w:rPr>
          <w:rFonts w:hint="eastAsia" w:ascii="宋体" w:hAnsi="宋体" w:eastAsia="宋体" w:cs="宋体"/>
          <w:sz w:val="24"/>
          <w:szCs w:val="24"/>
          <w:lang w:eastAsia="zh-CN"/>
        </w:rPr>
        <w:t>）</w:t>
      </w:r>
      <w:r>
        <w:rPr>
          <w:rFonts w:hint="eastAsia" w:ascii="宋体" w:hAnsi="宋体" w:eastAsia="宋体" w:cs="宋体"/>
          <w:sz w:val="24"/>
          <w:szCs w:val="24"/>
          <w:lang w:eastAsia="zh-CN"/>
        </w:rPr>
        <w:t>、</w:t>
      </w:r>
      <w:r>
        <w:rPr>
          <w:rFonts w:hint="eastAsia" w:ascii="宋体" w:hAnsi="宋体" w:eastAsia="宋体" w:cs="宋体"/>
          <w:sz w:val="24"/>
          <w:szCs w:val="24"/>
        </w:rPr>
        <w:t>《城市轨道交通正式运营前和运营期间安全评估管理暂行办法》（交运规〔2019〕16号）等配套文件，都对城市轨道交通运营安全评估工作提出了具体要求。</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在此背景下，</w:t>
      </w:r>
      <w:r>
        <w:rPr>
          <w:rFonts w:hint="eastAsia" w:ascii="宋体" w:hAnsi="宋体" w:eastAsia="宋体" w:cs="宋体"/>
          <w:sz w:val="24"/>
          <w:szCs w:val="24"/>
          <w:lang w:val="en-US" w:eastAsia="zh-CN"/>
        </w:rPr>
        <w:t>为进一步推进城市轨道交通行业标准化工作，促进满足市场和创新需求的团体标准研究制定，</w:t>
      </w:r>
      <w:r>
        <w:rPr>
          <w:rFonts w:hint="eastAsia" w:ascii="宋体" w:hAnsi="宋体" w:eastAsia="宋体" w:cs="宋体"/>
          <w:sz w:val="24"/>
          <w:szCs w:val="24"/>
        </w:rPr>
        <w:t>202</w:t>
      </w:r>
      <w:r>
        <w:rPr>
          <w:rFonts w:hint="eastAsia" w:ascii="宋体" w:hAnsi="宋体" w:eastAsia="宋体" w:cs="宋体"/>
          <w:sz w:val="24"/>
          <w:szCs w:val="24"/>
          <w:lang w:val="en-US" w:eastAsia="zh-CN"/>
        </w:rPr>
        <w:t>2</w:t>
      </w:r>
      <w:r>
        <w:rPr>
          <w:rFonts w:hint="eastAsia" w:ascii="宋体" w:hAnsi="宋体" w:eastAsia="宋体" w:cs="宋体"/>
          <w:sz w:val="24"/>
          <w:szCs w:val="24"/>
        </w:rPr>
        <w:t>年</w:t>
      </w:r>
      <w:r>
        <w:rPr>
          <w:rFonts w:hint="eastAsia" w:ascii="宋体" w:hAnsi="宋体" w:eastAsia="宋体" w:cs="宋体"/>
          <w:sz w:val="24"/>
          <w:szCs w:val="24"/>
          <w:lang w:val="en-US" w:eastAsia="zh-CN"/>
        </w:rPr>
        <w:t>6</w:t>
      </w:r>
      <w:r>
        <w:rPr>
          <w:rFonts w:hint="eastAsia" w:ascii="宋体" w:hAnsi="宋体" w:eastAsia="宋体" w:cs="宋体"/>
          <w:sz w:val="24"/>
          <w:szCs w:val="24"/>
        </w:rPr>
        <w:t>月2</w:t>
      </w:r>
      <w:r>
        <w:rPr>
          <w:rFonts w:hint="eastAsia" w:ascii="宋体" w:hAnsi="宋体" w:eastAsia="宋体" w:cs="宋体"/>
          <w:sz w:val="24"/>
          <w:szCs w:val="24"/>
          <w:lang w:val="en-US" w:eastAsia="zh-CN"/>
        </w:rPr>
        <w:t>0</w:t>
      </w:r>
      <w:r>
        <w:rPr>
          <w:rFonts w:hint="eastAsia" w:ascii="宋体" w:hAnsi="宋体" w:eastAsia="宋体" w:cs="宋体"/>
          <w:sz w:val="24"/>
          <w:szCs w:val="24"/>
        </w:rPr>
        <w:t>日，</w:t>
      </w:r>
      <w:r>
        <w:rPr>
          <w:rFonts w:hint="eastAsia" w:ascii="宋体" w:hAnsi="宋体" w:eastAsia="宋体" w:cs="宋体"/>
          <w:sz w:val="24"/>
          <w:szCs w:val="24"/>
          <w:lang w:val="en-US" w:eastAsia="zh-CN"/>
        </w:rPr>
        <w:t>深圳市城市轨道交通协会发布《关于&lt;导轨式胶轮系统正式运营安全评估规范&gt;等3项团体标准立项的通知》（深轨交协〔2022〕11号）</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提出制定</w:t>
      </w:r>
      <w:r>
        <w:rPr>
          <w:rFonts w:hint="eastAsia" w:ascii="宋体" w:hAnsi="宋体" w:eastAsia="宋体" w:cs="宋体"/>
          <w:sz w:val="24"/>
          <w:szCs w:val="24"/>
        </w:rPr>
        <w:t>《</w:t>
      </w:r>
      <w:r>
        <w:rPr>
          <w:rFonts w:hint="eastAsia" w:ascii="宋体" w:hAnsi="宋体" w:eastAsia="宋体" w:cs="宋体"/>
          <w:sz w:val="24"/>
          <w:szCs w:val="24"/>
          <w:lang w:val="en-US" w:eastAsia="zh-CN"/>
        </w:rPr>
        <w:t>导轨式胶轮系统正式运营安全评估规范</w:t>
      </w:r>
      <w:r>
        <w:rPr>
          <w:rFonts w:hint="eastAsia" w:ascii="宋体" w:hAnsi="宋体" w:eastAsia="宋体" w:cs="宋体"/>
          <w:sz w:val="24"/>
          <w:szCs w:val="24"/>
        </w:rPr>
        <w:t>》</w:t>
      </w:r>
      <w:r>
        <w:rPr>
          <w:rFonts w:hint="eastAsia" w:ascii="宋体" w:hAnsi="宋体" w:eastAsia="宋体" w:cs="宋体"/>
          <w:sz w:val="24"/>
          <w:szCs w:val="24"/>
          <w:lang w:eastAsia="zh-CN"/>
        </w:rPr>
        <w:t>。</w:t>
      </w:r>
    </w:p>
    <w:p>
      <w:pPr>
        <w:outlineLvl w:val="0"/>
        <w:rPr>
          <w:rFonts w:ascii="Times New Roman" w:hAnsi="Times New Roman" w:eastAsia="宋体" w:cs="Times New Roman"/>
          <w:b/>
          <w:sz w:val="28"/>
          <w:szCs w:val="28"/>
        </w:rPr>
      </w:pPr>
      <w:bookmarkStart w:id="1" w:name="_Toc74140567"/>
      <w:r>
        <w:rPr>
          <w:rFonts w:ascii="Times New Roman" w:hAnsi="Times New Roman" w:eastAsia="宋体" w:cs="Times New Roman"/>
          <w:b/>
          <w:sz w:val="28"/>
          <w:szCs w:val="28"/>
        </w:rPr>
        <w:t>二、标准制定的必要性</w:t>
      </w:r>
      <w:bookmarkEnd w:id="1"/>
    </w:p>
    <w:p>
      <w:pPr>
        <w:tabs>
          <w:tab w:val="left" w:pos="1440"/>
        </w:tabs>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导轨式胶轮系统与现行标准所覆盖的地铁、轻轨及有轨电车等均有较大差异。在设备系统方面具有专属性，比如车辆、道岔、轨道梁、供电系统及动力电池等；在运营管理方面，导轨式胶轮系统运营架构精简，岗位职责复合，比如取消二级调度，司乘职责涵盖站务、乘务、票务的工作；此外，导轨式胶轮系统采用全自动运行系统，具</w:t>
      </w:r>
      <w:r>
        <w:rPr>
          <w:rFonts w:hint="eastAsia" w:ascii="宋体" w:hAnsi="宋体" w:eastAsia="宋体" w:cs="宋体"/>
          <w:sz w:val="24"/>
          <w:szCs w:val="24"/>
        </w:rPr>
        <w:t>备GoA4</w:t>
      </w:r>
      <w:r>
        <w:rPr>
          <w:rFonts w:hint="eastAsia" w:ascii="Times New Roman" w:hAnsi="Times New Roman" w:eastAsia="宋体" w:cs="Times New Roman"/>
          <w:sz w:val="24"/>
          <w:szCs w:val="24"/>
        </w:rPr>
        <w:t>等级运行功能，线路设计以全自动运行为基础，设备功能要求与传统轨道交通线路存在一定差异。因此，现行的城市轨道交通</w:t>
      </w:r>
      <w:r>
        <w:rPr>
          <w:rFonts w:hint="eastAsia" w:ascii="Times New Roman" w:hAnsi="Times New Roman" w:eastAsia="宋体" w:cs="Times New Roman"/>
          <w:sz w:val="24"/>
          <w:szCs w:val="24"/>
          <w:lang w:val="en-US" w:eastAsia="zh-CN"/>
        </w:rPr>
        <w:t>正式</w:t>
      </w:r>
      <w:r>
        <w:rPr>
          <w:rFonts w:hint="eastAsia" w:ascii="Times New Roman" w:hAnsi="Times New Roman" w:eastAsia="宋体" w:cs="Times New Roman"/>
          <w:sz w:val="24"/>
          <w:szCs w:val="24"/>
        </w:rPr>
        <w:t>运营安全评估标准不完全适用导轨式胶轮系统。</w:t>
      </w:r>
    </w:p>
    <w:p>
      <w:pPr>
        <w:tabs>
          <w:tab w:val="left" w:pos="1440"/>
        </w:tabs>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目前，国内多个城市正在建设或运营导轨式胶轮系统，并且该制式在行业发展前景中具有广泛的市场需求，因此，有必要制定保障运营安全的《导轨式胶轮系统正式运营安全评估规范》团体标准。</w:t>
      </w:r>
      <w:r>
        <w:rPr>
          <w:rFonts w:hint="eastAsia" w:ascii="Times New Roman" w:hAnsi="Times New Roman" w:eastAsia="宋体" w:cs="Times New Roman"/>
          <w:sz w:val="24"/>
          <w:szCs w:val="24"/>
        </w:rPr>
        <w:t>从轨道交通标准体系建设层面，为助推不同运量轨道交通的发展，搭建多层次城市公共交通体系，相应的标准体系建设应跟上步伐，新技术、新装备、新理念等应在现行标准的基础上，补充和完善以覆盖不同制式轨道交通，标准化和规范化新型城市轨道交通，保障其运营安全。</w:t>
      </w:r>
    </w:p>
    <w:p>
      <w:pPr>
        <w:outlineLvl w:val="0"/>
        <w:rPr>
          <w:rFonts w:ascii="Times New Roman" w:hAnsi="Times New Roman" w:eastAsia="宋体" w:cs="Times New Roman"/>
          <w:b/>
          <w:sz w:val="28"/>
          <w:szCs w:val="28"/>
        </w:rPr>
      </w:pPr>
      <w:bookmarkStart w:id="2" w:name="_Toc74140568"/>
      <w:r>
        <w:rPr>
          <w:rFonts w:ascii="Times New Roman" w:hAnsi="Times New Roman" w:eastAsia="宋体" w:cs="Times New Roman"/>
          <w:b/>
          <w:sz w:val="28"/>
          <w:szCs w:val="28"/>
        </w:rPr>
        <w:t>三、主要工作过程</w:t>
      </w:r>
      <w:bookmarkEnd w:id="2"/>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w:t>
      </w:r>
      <w:r>
        <w:rPr>
          <w:rFonts w:hint="eastAsia" w:ascii="宋体" w:hAnsi="宋体" w:eastAsia="宋体" w:cs="宋体"/>
          <w:sz w:val="24"/>
          <w:szCs w:val="24"/>
          <w:lang w:val="en-US" w:eastAsia="zh-CN"/>
        </w:rPr>
        <w:t>编制</w:t>
      </w:r>
      <w:r>
        <w:rPr>
          <w:rFonts w:hint="eastAsia" w:ascii="宋体" w:hAnsi="宋体" w:eastAsia="宋体" w:cs="宋体"/>
          <w:sz w:val="24"/>
          <w:szCs w:val="24"/>
          <w:lang w:val="en-US" w:eastAsia="zh-CN"/>
        </w:rPr>
        <w:t>组开展了以下工作：</w:t>
      </w:r>
    </w:p>
    <w:p>
      <w:pPr>
        <w:tabs>
          <w:tab w:val="left" w:pos="720"/>
        </w:tabs>
        <w:spacing w:line="360" w:lineRule="auto"/>
        <w:ind w:firstLine="480" w:firstLineChars="200"/>
        <w:outlineLvl w:val="1"/>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基础调研</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2022年3月～4月，根据标准编制工作的实际需要，</w:t>
      </w:r>
      <w:r>
        <w:rPr>
          <w:rFonts w:hint="eastAsia" w:ascii="宋体" w:hAnsi="宋体" w:eastAsia="宋体" w:cs="宋体"/>
          <w:sz w:val="24"/>
          <w:szCs w:val="24"/>
          <w:lang w:val="en-US" w:eastAsia="zh-CN"/>
        </w:rPr>
        <w:t>编制</w:t>
      </w:r>
      <w:r>
        <w:rPr>
          <w:rFonts w:hint="eastAsia" w:ascii="宋体" w:hAnsi="宋体" w:eastAsia="宋体" w:cs="宋体"/>
          <w:sz w:val="24"/>
          <w:szCs w:val="24"/>
          <w:lang w:val="en-US" w:eastAsia="zh-CN"/>
        </w:rPr>
        <w:t>组系统梳理了国内外城市轨道交通正式运营安全评估工作情况和技术现状，实地调研了深圳地铁、龙华有轨电车、广州黄埔区有轨电车等运营企业，了解正式运营安全评估存在的问题和有关需求。同时，</w:t>
      </w:r>
      <w:r>
        <w:rPr>
          <w:rFonts w:hint="eastAsia" w:ascii="宋体" w:hAnsi="宋体" w:eastAsia="宋体" w:cs="宋体"/>
          <w:sz w:val="24"/>
          <w:szCs w:val="24"/>
          <w:lang w:val="en-US" w:eastAsia="zh-CN"/>
        </w:rPr>
        <w:t>编制</w:t>
      </w:r>
      <w:r>
        <w:rPr>
          <w:rFonts w:hint="eastAsia" w:ascii="宋体" w:hAnsi="宋体" w:eastAsia="宋体" w:cs="宋体"/>
          <w:sz w:val="24"/>
          <w:szCs w:val="24"/>
          <w:lang w:val="en-US" w:eastAsia="zh-CN"/>
        </w:rPr>
        <w:t>组对导轨式胶轮系统的</w:t>
      </w:r>
      <w:r>
        <w:rPr>
          <w:rFonts w:hint="eastAsia" w:ascii="宋体" w:hAnsi="宋体" w:eastAsia="宋体" w:cs="宋体"/>
          <w:sz w:val="24"/>
          <w:szCs w:val="24"/>
        </w:rPr>
        <w:t>车辆、道岔、轨道梁、供电系统及动力电池等</w:t>
      </w:r>
      <w:r>
        <w:rPr>
          <w:rFonts w:hint="eastAsia" w:ascii="宋体" w:hAnsi="宋体" w:eastAsia="宋体" w:cs="宋体"/>
          <w:sz w:val="24"/>
          <w:szCs w:val="24"/>
          <w:lang w:val="en-US" w:eastAsia="zh-CN"/>
        </w:rPr>
        <w:t>方面进行充分研究，与地铁、轻轨、有轨电车等</w:t>
      </w:r>
      <w:r>
        <w:rPr>
          <w:rFonts w:hint="eastAsia" w:ascii="宋体" w:hAnsi="宋体" w:eastAsia="宋体" w:cs="宋体"/>
          <w:sz w:val="24"/>
          <w:szCs w:val="24"/>
          <w:lang w:val="en-US" w:eastAsia="zh-CN"/>
        </w:rPr>
        <w:t>城市</w:t>
      </w:r>
      <w:r>
        <w:rPr>
          <w:rFonts w:hint="eastAsia" w:ascii="宋体" w:hAnsi="宋体" w:eastAsia="宋体" w:cs="宋体"/>
          <w:sz w:val="24"/>
          <w:szCs w:val="24"/>
          <w:lang w:val="en-US" w:eastAsia="zh-CN"/>
        </w:rPr>
        <w:t>轨道交通进行对比，分析导轨式胶轮系统与其他制式的不同之处。</w:t>
      </w:r>
    </w:p>
    <w:p>
      <w:pPr>
        <w:tabs>
          <w:tab w:val="left" w:pos="720"/>
        </w:tabs>
        <w:spacing w:line="360" w:lineRule="auto"/>
        <w:ind w:firstLine="480" w:firstLineChars="200"/>
        <w:outlineLvl w:val="1"/>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编写标准大纲</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2022年4月，</w:t>
      </w:r>
      <w:r>
        <w:rPr>
          <w:rFonts w:hint="eastAsia" w:ascii="宋体" w:hAnsi="宋体" w:eastAsia="宋体" w:cs="宋体"/>
          <w:sz w:val="24"/>
          <w:szCs w:val="24"/>
          <w:lang w:val="en-US" w:eastAsia="zh-CN"/>
        </w:rPr>
        <w:t>编制</w:t>
      </w:r>
      <w:r>
        <w:rPr>
          <w:rFonts w:hint="eastAsia" w:ascii="宋体" w:hAnsi="宋体" w:eastAsia="宋体" w:cs="宋体"/>
          <w:sz w:val="24"/>
          <w:szCs w:val="24"/>
          <w:lang w:val="en-US" w:eastAsia="zh-CN"/>
        </w:rPr>
        <w:t>组通过召开标准编制研讨会，开展了标准内容框架、技术大纲及重难点问题等的专题论证，明确研究编制思路和阶段划分等，在《国务院办公厅关于保障城市轨道交通安全运行的意见》</w:t>
      </w:r>
      <w:r>
        <w:rPr>
          <w:rFonts w:hint="eastAsia" w:ascii="宋体" w:hAnsi="宋体" w:eastAsia="宋体" w:cs="宋体"/>
          <w:sz w:val="24"/>
          <w:szCs w:val="24"/>
          <w:lang w:val="en-US" w:eastAsia="zh-CN"/>
        </w:rPr>
        <w:t>（国办发〔2018〕13号）</w:t>
      </w:r>
      <w:r>
        <w:rPr>
          <w:rFonts w:hint="eastAsia" w:ascii="宋体" w:hAnsi="宋体" w:eastAsia="宋体" w:cs="宋体"/>
          <w:sz w:val="24"/>
          <w:szCs w:val="24"/>
          <w:lang w:val="en-US" w:eastAsia="zh-CN"/>
        </w:rPr>
        <w:t>、《城市轨道交通运营管理规定》</w:t>
      </w:r>
      <w:r>
        <w:rPr>
          <w:rFonts w:hint="eastAsia" w:ascii="宋体" w:hAnsi="宋体" w:eastAsia="宋体" w:cs="宋体"/>
          <w:sz w:val="24"/>
          <w:szCs w:val="24"/>
          <w:lang w:val="en-US" w:eastAsia="zh-CN"/>
        </w:rPr>
        <w:t>（交通运输部令2018年第8号）</w:t>
      </w:r>
      <w:r>
        <w:rPr>
          <w:rFonts w:hint="eastAsia" w:ascii="宋体" w:hAnsi="宋体" w:eastAsia="宋体" w:cs="宋体"/>
          <w:sz w:val="24"/>
          <w:szCs w:val="24"/>
          <w:lang w:val="en-US" w:eastAsia="zh-CN"/>
        </w:rPr>
        <w:t>、《城市轨道交通正式运营前和运营期间安全评估管理暂行办法》</w:t>
      </w:r>
      <w:r>
        <w:rPr>
          <w:rFonts w:hint="eastAsia" w:ascii="宋体" w:hAnsi="宋体" w:eastAsia="宋体" w:cs="宋体"/>
          <w:sz w:val="24"/>
          <w:szCs w:val="24"/>
          <w:lang w:val="en-US" w:eastAsia="zh-CN"/>
        </w:rPr>
        <w:t>（交运规〔2019〕16号）</w:t>
      </w:r>
      <w:r>
        <w:rPr>
          <w:rFonts w:hint="eastAsia" w:ascii="宋体" w:hAnsi="宋体" w:eastAsia="宋体" w:cs="宋体"/>
          <w:sz w:val="24"/>
          <w:szCs w:val="24"/>
          <w:lang w:val="en-US" w:eastAsia="zh-CN"/>
        </w:rPr>
        <w:t>的指导下，形成标准大纲。</w:t>
      </w:r>
    </w:p>
    <w:p>
      <w:pPr>
        <w:tabs>
          <w:tab w:val="left" w:pos="720"/>
        </w:tabs>
        <w:spacing w:line="360" w:lineRule="auto"/>
        <w:ind w:firstLine="480" w:firstLineChars="200"/>
        <w:outlineLvl w:val="1"/>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编制标准草案</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2022年4月～</w:t>
      </w:r>
      <w:r>
        <w:rPr>
          <w:rFonts w:hint="eastAsia" w:ascii="宋体" w:hAnsi="宋体" w:eastAsia="宋体" w:cs="宋体"/>
          <w:sz w:val="24"/>
          <w:szCs w:val="24"/>
          <w:lang w:val="en-US" w:eastAsia="zh-CN"/>
        </w:rPr>
        <w:t>7</w:t>
      </w:r>
      <w:r>
        <w:rPr>
          <w:rFonts w:hint="eastAsia" w:ascii="宋体" w:hAnsi="宋体" w:eastAsia="宋体" w:cs="宋体"/>
          <w:sz w:val="24"/>
          <w:szCs w:val="24"/>
          <w:lang w:val="en-US" w:eastAsia="zh-CN"/>
        </w:rPr>
        <w:t>月，</w:t>
      </w:r>
      <w:r>
        <w:rPr>
          <w:rFonts w:hint="eastAsia" w:ascii="宋体" w:hAnsi="宋体" w:eastAsia="宋体" w:cs="宋体"/>
          <w:sz w:val="24"/>
          <w:szCs w:val="24"/>
          <w:lang w:val="en-US" w:eastAsia="zh-CN"/>
        </w:rPr>
        <w:t>编制</w:t>
      </w:r>
      <w:r>
        <w:rPr>
          <w:rFonts w:hint="eastAsia" w:ascii="宋体" w:hAnsi="宋体" w:eastAsia="宋体" w:cs="宋体"/>
          <w:sz w:val="24"/>
          <w:szCs w:val="24"/>
          <w:lang w:val="en-US" w:eastAsia="zh-CN"/>
        </w:rPr>
        <w:t>组召开了标准草案编制工作推进会，明确了各</w:t>
      </w:r>
      <w:r>
        <w:rPr>
          <w:rFonts w:hint="eastAsia" w:ascii="宋体" w:hAnsi="宋体" w:eastAsia="宋体" w:cs="宋体"/>
          <w:sz w:val="24"/>
          <w:szCs w:val="24"/>
          <w:lang w:val="en-US" w:eastAsia="zh-CN"/>
        </w:rPr>
        <w:t>参编</w:t>
      </w:r>
      <w:r>
        <w:rPr>
          <w:rFonts w:hint="eastAsia" w:ascii="宋体" w:hAnsi="宋体" w:eastAsia="宋体" w:cs="宋体"/>
          <w:sz w:val="24"/>
          <w:szCs w:val="24"/>
          <w:lang w:val="en-US" w:eastAsia="zh-CN"/>
        </w:rPr>
        <w:t>单位工作分工。编制过程中，多次召开编制专题讨论会，就编制过程中遇到的难点问题进行全员或相关成员单位讨论，并与导轨式胶轮系统技术研发部门充分研讨、多次核查技术要求和技术水平，确保技术难点问题有效解决，并于2022年7月形成了标准</w:t>
      </w:r>
      <w:r>
        <w:rPr>
          <w:rFonts w:hint="eastAsia" w:ascii="宋体" w:hAnsi="宋体" w:eastAsia="宋体" w:cs="宋体"/>
          <w:sz w:val="24"/>
          <w:szCs w:val="24"/>
          <w:lang w:val="en-US" w:eastAsia="zh-CN"/>
        </w:rPr>
        <w:t>征求意见稿</w:t>
      </w:r>
      <w:r>
        <w:rPr>
          <w:rFonts w:hint="eastAsia" w:ascii="宋体" w:hAnsi="宋体" w:eastAsia="宋体" w:cs="宋体"/>
          <w:sz w:val="24"/>
          <w:szCs w:val="24"/>
          <w:lang w:val="en-US" w:eastAsia="zh-CN"/>
        </w:rPr>
        <w:t>。</w:t>
      </w:r>
    </w:p>
    <w:p>
      <w:pPr>
        <w:outlineLvl w:val="0"/>
        <w:rPr>
          <w:rFonts w:ascii="Times New Roman" w:hAnsi="Times New Roman" w:eastAsia="宋体" w:cs="Times New Roman"/>
          <w:b/>
          <w:sz w:val="28"/>
          <w:szCs w:val="28"/>
        </w:rPr>
      </w:pPr>
      <w:bookmarkStart w:id="3" w:name="_Toc74140569"/>
      <w:r>
        <w:rPr>
          <w:rFonts w:ascii="Times New Roman" w:hAnsi="Times New Roman" w:eastAsia="宋体" w:cs="Times New Roman"/>
          <w:b/>
          <w:sz w:val="28"/>
          <w:szCs w:val="28"/>
        </w:rPr>
        <w:t>四、国</w:t>
      </w:r>
      <w:r>
        <w:rPr>
          <w:rFonts w:hint="eastAsia" w:ascii="Times New Roman" w:hAnsi="Times New Roman" w:eastAsia="宋体" w:cs="Times New Roman"/>
          <w:b/>
          <w:sz w:val="28"/>
          <w:szCs w:val="28"/>
        </w:rPr>
        <w:t>内外相关</w:t>
      </w:r>
      <w:r>
        <w:rPr>
          <w:rFonts w:ascii="Times New Roman" w:hAnsi="Times New Roman" w:eastAsia="宋体" w:cs="Times New Roman"/>
          <w:b/>
          <w:sz w:val="28"/>
          <w:szCs w:val="28"/>
        </w:rPr>
        <w:t>情况</w:t>
      </w:r>
      <w:r>
        <w:rPr>
          <w:rFonts w:hint="eastAsia" w:ascii="Times New Roman" w:hAnsi="Times New Roman" w:eastAsia="宋体" w:cs="Times New Roman"/>
          <w:b/>
          <w:sz w:val="28"/>
          <w:szCs w:val="28"/>
        </w:rPr>
        <w:t>说明</w:t>
      </w:r>
      <w:bookmarkEnd w:id="3"/>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根据《城市轨道交通运营管理规定》</w:t>
      </w:r>
      <w:r>
        <w:rPr>
          <w:rFonts w:hint="eastAsia" w:ascii="宋体" w:hAnsi="宋体" w:eastAsia="宋体" w:cs="宋体"/>
          <w:sz w:val="24"/>
          <w:szCs w:val="24"/>
          <w:lang w:val="en-US" w:eastAsia="zh-CN"/>
        </w:rPr>
        <w:t>（交通运输部令〔2018〕13号）</w:t>
      </w:r>
      <w:r>
        <w:rPr>
          <w:rFonts w:hint="eastAsia" w:ascii="宋体" w:hAnsi="宋体" w:eastAsia="宋体" w:cs="宋体"/>
          <w:sz w:val="24"/>
          <w:szCs w:val="24"/>
          <w:lang w:val="en-US" w:eastAsia="zh-CN"/>
        </w:rPr>
        <w:t>，城市轨道交通线路初期运营期满一年，运营单位应当向城市轨道交通运营主管部门报送初期运营报告，并由城市轨道交通运营主管部门组织正式运营前安全评估。通过安全评估的，方可依法办理正式运营手续。</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目前国内外城市轨道交通行业尚无针对导轨式胶轮系统正式运营安全评估的相关标准，迫切需要制定相关标准，保证导轨式胶轮系统正式运营前安全评估工作科学合理、有据可依，保障线路顺利开通正式运营。国内</w:t>
      </w:r>
      <w:r>
        <w:rPr>
          <w:rFonts w:hint="eastAsia" w:ascii="宋体" w:hAnsi="宋体" w:eastAsia="宋体" w:cs="宋体"/>
          <w:sz w:val="24"/>
          <w:szCs w:val="24"/>
          <w:lang w:val="en-US" w:eastAsia="zh-CN"/>
        </w:rPr>
        <w:t>城市</w:t>
      </w:r>
      <w:r>
        <w:rPr>
          <w:rFonts w:hint="eastAsia" w:ascii="宋体" w:hAnsi="宋体" w:eastAsia="宋体" w:cs="宋体"/>
          <w:sz w:val="24"/>
          <w:szCs w:val="24"/>
          <w:lang w:val="en-US" w:eastAsia="zh-CN"/>
        </w:rPr>
        <w:t>轨道交通正式运营前安全评估有关情况如下：</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2008年，国家将城市轨道交通指导运营的职能划入交通运输部。交通运输部高度重视</w:t>
      </w:r>
      <w:r>
        <w:rPr>
          <w:rFonts w:hint="eastAsia" w:ascii="宋体" w:hAnsi="宋体" w:eastAsia="宋体" w:cs="宋体"/>
          <w:sz w:val="24"/>
          <w:szCs w:val="24"/>
          <w:lang w:val="en-US" w:eastAsia="zh-CN"/>
        </w:rPr>
        <w:t>城市</w:t>
      </w:r>
      <w:r>
        <w:rPr>
          <w:rFonts w:hint="eastAsia" w:ascii="宋体" w:hAnsi="宋体" w:eastAsia="宋体" w:cs="宋体"/>
          <w:sz w:val="24"/>
          <w:szCs w:val="24"/>
          <w:lang w:val="en-US" w:eastAsia="zh-CN"/>
        </w:rPr>
        <w:t>轨道交通标准制定，积极筹备建立了“全国城市客运标准化技术委员会”，并编制了《2013—2015年城市客运重点标准制修订计划》，用三年时间制定和修订国标和行标60多项。</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2013年，交通运输部发布《城市轨道交通运营管理规范》（GB/T 30012</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2013）和《城市轨道交通试运营基本条件》（GB/T 30013</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2013）。</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2018年，国务院办公厅下发了《关于保障城市轨道交通安全运行的意见》（国办发〔2018〕13号），交通运输部发布了《城市轨道交通运营管理规定》（交通运输部令</w:t>
      </w:r>
      <w:r>
        <w:rPr>
          <w:rFonts w:hint="eastAsia" w:ascii="宋体" w:hAnsi="宋体" w:eastAsia="宋体" w:cs="宋体"/>
          <w:sz w:val="24"/>
          <w:szCs w:val="24"/>
          <w:lang w:val="en-US" w:eastAsia="zh-CN"/>
        </w:rPr>
        <w:t>2018年第8号</w:t>
      </w:r>
      <w:r>
        <w:rPr>
          <w:rFonts w:hint="eastAsia" w:ascii="宋体" w:hAnsi="宋体" w:eastAsia="宋体" w:cs="宋体"/>
          <w:sz w:val="24"/>
          <w:szCs w:val="24"/>
          <w:lang w:val="en-US" w:eastAsia="zh-CN"/>
        </w:rPr>
        <w:t>）。</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2019年，交通运输部印发《城市轨道交通正式运营前和运营期间安全评估管理暂行办法》（交运规〔2019〕16号），指导各地做好城市轨道交通运营安全评估工作，提升城市轨道交通安全管理水平。同时，以办公厅文件形式同步出台了《城市轨道交通正式运营前安全评估规范</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第1部分：地铁和轻轨》（交办运〔2019〕83号）和《城市轨道交通运营期间安全评估规范》（交办运〔2019〕84号），明确正式运营前和运营期间安全评估的有关技术要求。</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2020年，国家标准化管理委员会发布了《城市轨道交通运营技术规范》（GB/T 38707</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2020），规定了城市轨道交通设施设备运营技术需求和运营管理技术要求。</w:t>
      </w:r>
    </w:p>
    <w:p>
      <w:pPr>
        <w:tabs>
          <w:tab w:val="left" w:pos="72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2021年，国家标准化管理委员会下发《关于下达推荐性国家标准计划及相关标准外文版加计划的通知》（国标委发〔2021〕23号），正式立项国家标准《城市轨道交通运营安全评估规范 </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 xml:space="preserve">第2部分：单轨》和《城市轨道交通运营安全评估规范 </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第3部分：有轨电车》，2022年5月，已完成公开征求意见。</w:t>
      </w:r>
    </w:p>
    <w:p>
      <w:pPr>
        <w:outlineLvl w:val="0"/>
        <w:rPr>
          <w:rFonts w:ascii="Times New Roman" w:hAnsi="Times New Roman" w:eastAsia="宋体" w:cs="Times New Roman"/>
          <w:b/>
          <w:sz w:val="28"/>
          <w:szCs w:val="28"/>
        </w:rPr>
      </w:pPr>
      <w:bookmarkStart w:id="4" w:name="_Toc74140570"/>
      <w:r>
        <w:rPr>
          <w:rFonts w:hint="eastAsia" w:ascii="Times New Roman" w:hAnsi="Times New Roman" w:eastAsia="宋体" w:cs="Times New Roman"/>
          <w:b/>
          <w:sz w:val="28"/>
          <w:szCs w:val="28"/>
        </w:rPr>
        <w:t>五</w:t>
      </w:r>
      <w:r>
        <w:rPr>
          <w:rFonts w:ascii="Times New Roman" w:hAnsi="Times New Roman" w:eastAsia="宋体" w:cs="Times New Roman"/>
          <w:b/>
          <w:sz w:val="28"/>
          <w:szCs w:val="28"/>
        </w:rPr>
        <w:t>、相关</w:t>
      </w:r>
      <w:r>
        <w:rPr>
          <w:rFonts w:hint="eastAsia" w:ascii="Times New Roman" w:hAnsi="Times New Roman" w:eastAsia="宋体" w:cs="Times New Roman"/>
          <w:b/>
          <w:sz w:val="28"/>
          <w:szCs w:val="28"/>
        </w:rPr>
        <w:t>法律</w:t>
      </w:r>
      <w:r>
        <w:rPr>
          <w:rFonts w:ascii="Times New Roman" w:hAnsi="Times New Roman" w:eastAsia="宋体" w:cs="Times New Roman"/>
          <w:b/>
          <w:sz w:val="28"/>
          <w:szCs w:val="28"/>
        </w:rPr>
        <w:t>法规及标准</w:t>
      </w:r>
      <w:r>
        <w:rPr>
          <w:rFonts w:hint="eastAsia" w:ascii="Times New Roman" w:hAnsi="Times New Roman" w:eastAsia="宋体" w:cs="Times New Roman"/>
          <w:b/>
          <w:sz w:val="28"/>
          <w:szCs w:val="28"/>
        </w:rPr>
        <w:t>情况说明</w:t>
      </w:r>
      <w:bookmarkEnd w:id="4"/>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rPr>
        <w:t xml:space="preserve">. </w:t>
      </w:r>
      <w:r>
        <w:rPr>
          <w:rFonts w:hint="eastAsia" w:ascii="宋体" w:hAnsi="宋体" w:eastAsia="宋体" w:cs="宋体"/>
          <w:sz w:val="24"/>
          <w:szCs w:val="24"/>
        </w:rPr>
        <w:t>导轨式胶轮系统属于城市轨道交通的一种小运量制式，与其相关的法律法规有：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（1）《国务院办公厅关于进一步加强城市轨道交通规划建设管理的意见》（国办发〔2018〕52号）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（2）《国家发展改革委关于加强城市轨道交通规划建设管理的通知》（发改基础〔2015〕49号）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（3）《住建部关于印发城市轨道交通建设工程验收管理暂行办法的通知》（建质〔2014〕42号）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（4）《城市轨道交通运营管理规定》（交通运输部令2018年第8号）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（5）《城市轨道交通正式运营前和运营期间安全评估管理暂行办法》（交运规〔2019〕16号）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val="en-US"/>
        </w:rPr>
        <w:t>项目</w:t>
      </w:r>
      <w:r>
        <w:rPr>
          <w:rFonts w:hint="eastAsia" w:ascii="宋体" w:hAnsi="宋体" w:eastAsia="宋体" w:cs="宋体"/>
          <w:sz w:val="24"/>
          <w:szCs w:val="24"/>
        </w:rPr>
        <w:t>符合以上法律法规中对</w:t>
      </w:r>
      <w:r>
        <w:rPr>
          <w:rFonts w:hint="eastAsia" w:ascii="宋体" w:hAnsi="宋体" w:eastAsia="宋体" w:cs="宋体"/>
          <w:sz w:val="24"/>
          <w:szCs w:val="24"/>
          <w:lang w:val="en-US" w:eastAsia="zh-CN"/>
        </w:rPr>
        <w:t>城市</w:t>
      </w:r>
      <w:r>
        <w:rPr>
          <w:rFonts w:hint="eastAsia" w:ascii="宋体" w:hAnsi="宋体" w:eastAsia="宋体" w:cs="宋体"/>
          <w:sz w:val="24"/>
          <w:szCs w:val="24"/>
        </w:rPr>
        <w:t>轨道交通的要求。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目前国内外尚无专门针对导轨式胶轮系统正式运营前安全评估而编写的标准。因此，本项目在符合现有标准的基础上，制定适用于导轨式胶轮系统正式运营前安全评估基本条件的标准，可为建立导轨式胶轮系统标准体系打下坚实基础，有助于完善</w:t>
      </w:r>
      <w:r>
        <w:rPr>
          <w:rFonts w:hint="eastAsia" w:ascii="宋体" w:hAnsi="宋体" w:eastAsia="宋体" w:cs="宋体"/>
          <w:sz w:val="24"/>
          <w:szCs w:val="24"/>
          <w:lang w:val="en-US" w:eastAsia="zh-CN"/>
        </w:rPr>
        <w:t>城市</w:t>
      </w:r>
      <w:r>
        <w:rPr>
          <w:rFonts w:hint="eastAsia" w:ascii="宋体" w:hAnsi="宋体" w:eastAsia="宋体" w:cs="宋体"/>
          <w:sz w:val="24"/>
          <w:szCs w:val="24"/>
        </w:rPr>
        <w:t>轨道交通标准体系，保证导轨式胶轮系统线路顺利开通正式运营。</w:t>
      </w:r>
    </w:p>
    <w:p>
      <w:pPr>
        <w:outlineLvl w:val="0"/>
        <w:rPr>
          <w:rFonts w:ascii="Times New Roman" w:hAnsi="Times New Roman" w:eastAsia="宋体" w:cs="Times New Roman"/>
          <w:b/>
          <w:sz w:val="28"/>
          <w:szCs w:val="28"/>
        </w:rPr>
      </w:pPr>
      <w:bookmarkStart w:id="5" w:name="_Toc74140571"/>
      <w:r>
        <w:rPr>
          <w:rFonts w:hint="eastAsia" w:ascii="Times New Roman" w:hAnsi="Times New Roman" w:eastAsia="宋体" w:cs="Times New Roman"/>
          <w:b/>
          <w:sz w:val="28"/>
          <w:szCs w:val="28"/>
        </w:rPr>
        <w:t>六</w:t>
      </w:r>
      <w:r>
        <w:rPr>
          <w:rFonts w:ascii="Times New Roman" w:hAnsi="Times New Roman" w:eastAsia="宋体" w:cs="Times New Roman"/>
          <w:b/>
          <w:sz w:val="28"/>
          <w:szCs w:val="28"/>
        </w:rPr>
        <w:t>、编制内容及说明</w:t>
      </w:r>
      <w:bookmarkEnd w:id="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 xml:space="preserve">本标准编制过程严格遵守国家标准化管理委员会关于标准制定的有关规定和程序要求，符合《标准化工作导则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第1部分：标准的结构和编写规则》（GB/T 1.1—2020）的规定。</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本标准的编制内容根据</w:t>
      </w:r>
      <w:r>
        <w:rPr>
          <w:rFonts w:hint="eastAsia" w:ascii="宋体" w:hAnsi="宋体" w:eastAsia="宋体" w:cs="宋体"/>
          <w:sz w:val="24"/>
          <w:szCs w:val="24"/>
        </w:rPr>
        <w:t>《城市轨道交通正式运营前和运营期间安全评估管理暂行办法》（交运规〔2019〕16号）</w:t>
      </w:r>
      <w:r>
        <w:rPr>
          <w:rFonts w:hint="eastAsia" w:ascii="宋体" w:hAnsi="宋体" w:eastAsia="宋体" w:cs="宋体"/>
          <w:sz w:val="24"/>
          <w:szCs w:val="24"/>
          <w:lang w:val="en-US" w:eastAsia="zh-CN"/>
        </w:rPr>
        <w:t>确定，主要包含以下</w:t>
      </w:r>
      <w:r>
        <w:rPr>
          <w:rFonts w:hint="eastAsia" w:ascii="宋体" w:hAnsi="宋体" w:eastAsia="宋体" w:cs="宋体"/>
          <w:sz w:val="24"/>
          <w:szCs w:val="24"/>
          <w:lang w:val="en-US" w:eastAsia="zh-CN"/>
        </w:rPr>
        <w:t>内容</w:t>
      </w:r>
      <w:r>
        <w:rPr>
          <w:rFonts w:hint="eastAsia" w:ascii="宋体" w:hAnsi="宋体" w:eastAsia="宋体" w:cs="宋体"/>
          <w:sz w:val="24"/>
          <w:szCs w:val="24"/>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基本规定：包括评估对象、评估条件、评估指标、评估程序和方式。</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风险分级管控与隐患排查治理：包括运营单位组织架构、人员配置、职责分工、安全管理制度、安全经费投入、运营安全风险分级管控与隐患排查治理工作制度的落实完善、运营安全风险分级管控与隐患排查治理工作开展等方面的评估要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行车组织：包括行车组织管理制度、行车组织责任制、行车组织调整、调度命令的传达、行车组织方案的落实、施工管理、车辆充电安全管理等方面的评估要求。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客运组织：包括客运组织方案落实完善、客流监测机制、车站管辖范围巡查、客运服务设备完好、突发情况应急处置等方面的评估要求。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施设备运行维护：包括一般规定、土建设施、车辆、通信系统、信号系统、供电系统、自动售检票系统、综合监控系统、火灾自动报警系统、电梯、自动扶梯、通风空调系统、给排水及消防系统、站台门、道岔等方面的评估要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运营人员：包括在岗、新增、复岗、调入的运营人员和特种设备作业人员的培训要求。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应急管理：包括运营突发事件处置工作机制、应急预案完善、应急演练工作、应急物管理、应急抢险队伍训练、运营险性事件技术分析及安全警示教育等方面的评估要求。</w:t>
      </w:r>
    </w:p>
    <w:p>
      <w:pPr>
        <w:outlineLvl w:val="0"/>
        <w:rPr>
          <w:rFonts w:ascii="Times New Roman" w:hAnsi="Times New Roman" w:eastAsia="宋体" w:cs="Times New Roman"/>
          <w:b/>
          <w:sz w:val="28"/>
          <w:szCs w:val="28"/>
        </w:rPr>
      </w:pPr>
      <w:bookmarkStart w:id="6" w:name="_Toc74140572"/>
      <w:r>
        <w:rPr>
          <w:rFonts w:hint="eastAsia" w:ascii="Times New Roman" w:hAnsi="Times New Roman" w:eastAsia="宋体" w:cs="Times New Roman"/>
          <w:b/>
          <w:sz w:val="28"/>
          <w:szCs w:val="28"/>
        </w:rPr>
        <w:t>七</w:t>
      </w:r>
      <w:r>
        <w:rPr>
          <w:rFonts w:ascii="Times New Roman" w:hAnsi="Times New Roman" w:eastAsia="宋体" w:cs="Times New Roman"/>
          <w:b/>
          <w:sz w:val="28"/>
          <w:szCs w:val="28"/>
        </w:rPr>
        <w:t>、主要条文说明</w:t>
      </w:r>
      <w:bookmarkEnd w:id="6"/>
    </w:p>
    <w:p>
      <w:pPr>
        <w:numPr>
          <w:ilvl w:val="0"/>
          <w:numId w:val="3"/>
        </w:numPr>
        <w:spacing w:line="360" w:lineRule="auto"/>
        <w:ind w:left="0" w:leftChars="0" w:firstLine="480" w:firstLineChars="200"/>
        <w:outlineLvl w:val="1"/>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范围</w:t>
      </w:r>
    </w:p>
    <w:p>
      <w:pPr>
        <w:spacing w:line="360" w:lineRule="auto"/>
        <w:ind w:firstLine="480" w:firstLineChars="200"/>
        <w:rPr>
          <w:rFonts w:hint="eastAsia" w:ascii="宋体" w:hAnsi="宋体" w:eastAsia="宋体" w:cs="Times New Roman"/>
          <w:sz w:val="24"/>
          <w:szCs w:val="28"/>
          <w:lang w:eastAsia="zh-CN"/>
        </w:rPr>
      </w:pPr>
      <w:r>
        <w:rPr>
          <w:rFonts w:hint="eastAsia" w:ascii="宋体" w:hAnsi="宋体" w:eastAsia="宋体" w:cs="Times New Roman"/>
          <w:sz w:val="24"/>
          <w:szCs w:val="28"/>
          <w:lang w:val="en-US" w:eastAsia="zh-CN"/>
        </w:rPr>
        <w:t>本标准</w:t>
      </w:r>
      <w:r>
        <w:rPr>
          <w:rFonts w:hint="eastAsia" w:ascii="宋体" w:hAnsi="宋体" w:eastAsia="宋体" w:cs="Times New Roman"/>
          <w:sz w:val="24"/>
          <w:szCs w:val="28"/>
        </w:rPr>
        <w:t>适用于导轨式胶轮系统线路正式运营前的安全评估</w:t>
      </w:r>
      <w:r>
        <w:rPr>
          <w:rFonts w:hint="eastAsia" w:ascii="宋体" w:hAnsi="宋体" w:eastAsia="宋体" w:cs="Times New Roman"/>
          <w:sz w:val="24"/>
          <w:szCs w:val="28"/>
          <w:lang w:eastAsia="zh-CN"/>
        </w:rPr>
        <w:t>。</w:t>
      </w:r>
    </w:p>
    <w:p>
      <w:pPr>
        <w:numPr>
          <w:ilvl w:val="0"/>
          <w:numId w:val="3"/>
        </w:numPr>
        <w:spacing w:line="360" w:lineRule="auto"/>
        <w:ind w:left="0" w:leftChars="0" w:firstLine="480" w:firstLineChars="200"/>
        <w:outlineLvl w:val="1"/>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规范性引用文件</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本标准主要引用了以下文件：</w:t>
      </w:r>
    </w:p>
    <w:p>
      <w:pPr>
        <w:spacing w:line="360" w:lineRule="auto"/>
        <w:ind w:firstLine="480" w:firstLineChars="200"/>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1</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T/URTA 0003 导轨式胶轮系统全自动运行线路运营场景规范</w:t>
      </w:r>
    </w:p>
    <w:p>
      <w:pPr>
        <w:spacing w:line="360" w:lineRule="auto"/>
        <w:ind w:firstLine="480" w:firstLineChars="200"/>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2</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T/URTA 0005 导轨式胶轮系统全自动运行线路初期运营安全评估基本条件</w:t>
      </w:r>
    </w:p>
    <w:p>
      <w:pPr>
        <w:numPr>
          <w:ilvl w:val="0"/>
          <w:numId w:val="3"/>
        </w:numPr>
        <w:spacing w:line="360" w:lineRule="auto"/>
        <w:ind w:left="0" w:leftChars="0" w:firstLine="480" w:firstLineChars="200"/>
        <w:outlineLvl w:val="1"/>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术语和定义</w:t>
      </w:r>
    </w:p>
    <w:p>
      <w:pPr>
        <w:spacing w:line="360" w:lineRule="auto"/>
        <w:ind w:firstLine="480" w:firstLineChars="200"/>
        <w:rPr>
          <w:rFonts w:hint="default" w:ascii="宋体" w:hAnsi="宋体" w:eastAsia="宋体" w:cs="Times New Roman"/>
          <w:sz w:val="24"/>
          <w:szCs w:val="28"/>
          <w:lang w:val="en-US" w:eastAsia="zh-CN"/>
        </w:rPr>
      </w:pPr>
      <w:r>
        <w:rPr>
          <w:rFonts w:hint="default" w:ascii="宋体" w:hAnsi="宋体" w:eastAsia="宋体" w:cs="Times New Roman"/>
          <w:sz w:val="24"/>
          <w:szCs w:val="28"/>
          <w:lang w:val="en-US" w:eastAsia="zh-CN"/>
        </w:rPr>
        <w:t>本标准按照引用和创造相结合的原则，根据《城市轨道交通正式运营前安全评估规范  第1部分：地铁和轻轨》</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交办运〔2019〕83号</w:t>
      </w:r>
      <w:r>
        <w:rPr>
          <w:rFonts w:hint="eastAsia" w:ascii="宋体" w:hAnsi="宋体" w:eastAsia="宋体" w:cs="Times New Roman"/>
          <w:sz w:val="24"/>
          <w:szCs w:val="28"/>
          <w:lang w:val="en-US" w:eastAsia="zh-CN"/>
        </w:rPr>
        <w:t>）、《城市轨道交通正式运营前和运营期间安全评估管理暂行办法》（交运规〔2019〕16号）、《城市轨道交通分类》（T</w:t>
      </w:r>
      <w:r>
        <w:rPr>
          <w:rFonts w:hint="default" w:ascii="宋体" w:hAnsi="宋体" w:eastAsia="宋体" w:cs="Times New Roman"/>
          <w:sz w:val="24"/>
          <w:szCs w:val="28"/>
          <w:lang w:val="en-US" w:eastAsia="zh-CN"/>
        </w:rPr>
        <w:t>/</w:t>
      </w:r>
      <w:r>
        <w:rPr>
          <w:rFonts w:hint="eastAsia" w:ascii="宋体" w:hAnsi="宋体" w:eastAsia="宋体" w:cs="Times New Roman"/>
          <w:sz w:val="24"/>
          <w:szCs w:val="28"/>
          <w:lang w:val="en-US" w:eastAsia="zh-CN"/>
        </w:rPr>
        <w:t>CAMET 00001—2020）、《城市轨道交通</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全自动运行系统规范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第1部分：需求》（T/CAMET 040171.1—2019）</w:t>
      </w:r>
      <w:r>
        <w:rPr>
          <w:rFonts w:hint="default" w:ascii="宋体" w:hAnsi="宋体" w:eastAsia="宋体" w:cs="Times New Roman"/>
          <w:sz w:val="24"/>
          <w:szCs w:val="28"/>
          <w:lang w:val="en-US" w:eastAsia="zh-CN"/>
        </w:rPr>
        <w:t>以及</w:t>
      </w:r>
      <w:r>
        <w:rPr>
          <w:rFonts w:hint="eastAsia" w:ascii="宋体" w:hAnsi="宋体" w:eastAsia="宋体" w:cs="Times New Roman"/>
          <w:sz w:val="24"/>
          <w:szCs w:val="28"/>
          <w:lang w:val="en-US" w:eastAsia="zh-CN"/>
        </w:rPr>
        <w:t>导轨式胶轮系统各专业技术规格书</w:t>
      </w:r>
      <w:r>
        <w:rPr>
          <w:rFonts w:hint="default" w:ascii="宋体" w:hAnsi="宋体" w:eastAsia="宋体" w:cs="Times New Roman"/>
          <w:sz w:val="24"/>
          <w:szCs w:val="28"/>
          <w:lang w:val="en-US" w:eastAsia="zh-CN"/>
        </w:rPr>
        <w:t>等规范性文件、标准有关术语定义，共定义了</w:t>
      </w:r>
      <w:r>
        <w:rPr>
          <w:rFonts w:hint="eastAsia" w:ascii="宋体" w:hAnsi="宋体" w:eastAsia="宋体" w:cs="Times New Roman"/>
          <w:sz w:val="24"/>
          <w:szCs w:val="28"/>
          <w:lang w:val="en-US" w:eastAsia="zh-CN"/>
        </w:rPr>
        <w:t>导轨式胶轮系统</w:t>
      </w:r>
      <w:r>
        <w:rPr>
          <w:rFonts w:hint="default" w:ascii="宋体" w:hAnsi="宋体" w:eastAsia="宋体" w:cs="Times New Roman"/>
          <w:sz w:val="24"/>
          <w:szCs w:val="28"/>
          <w:lang w:val="en-US" w:eastAsia="zh-CN"/>
        </w:rPr>
        <w:t>、</w:t>
      </w:r>
      <w:r>
        <w:rPr>
          <w:rFonts w:hint="eastAsia" w:ascii="宋体" w:hAnsi="宋体" w:eastAsia="宋体" w:cs="Times New Roman"/>
          <w:sz w:val="24"/>
          <w:szCs w:val="28"/>
          <w:lang w:val="en-US" w:eastAsia="zh-CN"/>
        </w:rPr>
        <w:t>调度人员、司乘人员、轨道梁、综合车场、全自动运行区域及非全自动运行区域</w:t>
      </w:r>
      <w:r>
        <w:rPr>
          <w:rFonts w:hint="default" w:ascii="宋体" w:hAnsi="宋体" w:eastAsia="宋体" w:cs="Times New Roman"/>
          <w:sz w:val="24"/>
          <w:szCs w:val="28"/>
          <w:lang w:val="en-US" w:eastAsia="zh-CN"/>
        </w:rPr>
        <w:t>等</w:t>
      </w:r>
      <w:r>
        <w:rPr>
          <w:rFonts w:hint="eastAsia" w:ascii="宋体" w:hAnsi="宋体" w:eastAsia="宋体" w:cs="Times New Roman"/>
          <w:sz w:val="24"/>
          <w:szCs w:val="28"/>
          <w:lang w:val="en-US" w:eastAsia="zh-CN"/>
        </w:rPr>
        <w:t>7</w:t>
      </w:r>
      <w:r>
        <w:rPr>
          <w:rFonts w:hint="default" w:ascii="宋体" w:hAnsi="宋体" w:eastAsia="宋体" w:cs="Times New Roman"/>
          <w:sz w:val="24"/>
          <w:szCs w:val="28"/>
          <w:lang w:val="en-US" w:eastAsia="zh-CN"/>
        </w:rPr>
        <w:t>个术语。</w:t>
      </w:r>
    </w:p>
    <w:p>
      <w:pPr>
        <w:numPr>
          <w:ilvl w:val="0"/>
          <w:numId w:val="3"/>
        </w:numPr>
        <w:spacing w:line="360" w:lineRule="auto"/>
        <w:ind w:left="0" w:leftChars="0" w:firstLine="480" w:firstLineChars="200"/>
        <w:outlineLvl w:val="1"/>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缩略语</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本标准使用的缩略语根据《</w:t>
      </w:r>
      <w:r>
        <w:rPr>
          <w:rFonts w:hint="default" w:ascii="宋体" w:hAnsi="宋体" w:eastAsia="宋体" w:cs="Times New Roman"/>
          <w:sz w:val="24"/>
          <w:szCs w:val="28"/>
          <w:lang w:val="en-US" w:eastAsia="zh-CN"/>
        </w:rPr>
        <w:t>城市轨道交通工程基本术语标准</w:t>
      </w:r>
      <w:r>
        <w:rPr>
          <w:rFonts w:hint="eastAsia" w:ascii="宋体" w:hAnsi="宋体" w:eastAsia="宋体" w:cs="Times New Roman"/>
          <w:sz w:val="24"/>
          <w:szCs w:val="28"/>
          <w:lang w:val="en-US" w:eastAsia="zh-CN"/>
        </w:rPr>
        <w:t>》（GB</w:t>
      </w:r>
      <w:r>
        <w:rPr>
          <w:rFonts w:hint="default" w:ascii="宋体" w:hAnsi="宋体" w:eastAsia="宋体" w:cs="Times New Roman"/>
          <w:sz w:val="24"/>
          <w:szCs w:val="28"/>
          <w:lang w:val="en-US" w:eastAsia="zh-CN"/>
        </w:rPr>
        <w:t>/</w:t>
      </w:r>
      <w:r>
        <w:rPr>
          <w:rFonts w:hint="eastAsia" w:ascii="宋体" w:hAnsi="宋体" w:eastAsia="宋体" w:cs="Times New Roman"/>
          <w:sz w:val="24"/>
          <w:szCs w:val="28"/>
          <w:lang w:val="en-US" w:eastAsia="zh-CN"/>
        </w:rPr>
        <w:t xml:space="preserve">T </w:t>
      </w:r>
      <w:r>
        <w:rPr>
          <w:rFonts w:hint="default" w:ascii="宋体" w:hAnsi="宋体" w:eastAsia="宋体" w:cs="Times New Roman"/>
          <w:sz w:val="24"/>
          <w:szCs w:val="28"/>
          <w:lang w:val="en-US" w:eastAsia="zh-CN"/>
        </w:rPr>
        <w:t>50833</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2012</w:t>
      </w:r>
      <w:r>
        <w:rPr>
          <w:rFonts w:hint="eastAsia" w:ascii="宋体" w:hAnsi="宋体" w:eastAsia="宋体" w:cs="Times New Roman"/>
          <w:sz w:val="24"/>
          <w:szCs w:val="28"/>
          <w:lang w:val="en-US" w:eastAsia="zh-CN"/>
        </w:rPr>
        <w:t>）编制。</w:t>
      </w:r>
    </w:p>
    <w:p>
      <w:pPr>
        <w:numPr>
          <w:ilvl w:val="0"/>
          <w:numId w:val="3"/>
        </w:numPr>
        <w:spacing w:line="360" w:lineRule="auto"/>
        <w:ind w:left="0" w:leftChars="0" w:firstLine="480" w:firstLineChars="200"/>
        <w:outlineLvl w:val="1"/>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基本规定</w:t>
      </w:r>
    </w:p>
    <w:p>
      <w:pPr>
        <w:spacing w:line="360" w:lineRule="auto"/>
        <w:ind w:firstLine="480" w:firstLineChars="200"/>
        <w:outlineLvl w:val="2"/>
        <w:rPr>
          <w:rFonts w:hint="eastAsia" w:ascii="宋体" w:hAnsi="宋体" w:eastAsia="宋体" w:cs="Times New Roman"/>
          <w:color w:val="auto"/>
          <w:sz w:val="24"/>
          <w:szCs w:val="28"/>
          <w:highlight w:val="none"/>
          <w:lang w:val="en-US" w:eastAsia="zh-CN"/>
        </w:rPr>
      </w:pPr>
      <w:bookmarkStart w:id="7" w:name="_Toc22890"/>
      <w:bookmarkStart w:id="8" w:name="_Toc6006"/>
      <w:bookmarkStart w:id="9" w:name="_Toc30371"/>
      <w:bookmarkStart w:id="10" w:name="_Toc29763"/>
      <w:bookmarkStart w:id="11" w:name="_Toc13815"/>
      <w:r>
        <w:rPr>
          <w:rFonts w:hint="eastAsia" w:ascii="宋体" w:hAnsi="宋体" w:eastAsia="宋体" w:cs="Times New Roman"/>
          <w:color w:val="auto"/>
          <w:sz w:val="24"/>
          <w:szCs w:val="28"/>
          <w:highlight w:val="none"/>
          <w:lang w:val="en-US" w:eastAsia="zh-CN"/>
        </w:rPr>
        <w:t>5.1评估对象</w:t>
      </w:r>
      <w:bookmarkEnd w:id="7"/>
      <w:bookmarkEnd w:id="8"/>
      <w:bookmarkEnd w:id="9"/>
      <w:bookmarkEnd w:id="10"/>
      <w:bookmarkEnd w:id="11"/>
    </w:p>
    <w:p>
      <w:pPr>
        <w:spacing w:line="360" w:lineRule="auto"/>
        <w:ind w:firstLine="480" w:firstLineChars="200"/>
        <w:rPr>
          <w:rFonts w:hint="default" w:ascii="宋体" w:hAnsi="宋体" w:eastAsia="宋体" w:cs="Times New Roman"/>
          <w:sz w:val="24"/>
          <w:szCs w:val="28"/>
          <w:highlight w:val="none"/>
          <w:lang w:val="en-US" w:eastAsia="zh-CN"/>
        </w:rPr>
      </w:pPr>
      <w:r>
        <w:rPr>
          <w:rFonts w:hint="eastAsia" w:ascii="宋体" w:hAnsi="宋体" w:eastAsia="宋体" w:cs="Times New Roman"/>
          <w:sz w:val="24"/>
          <w:szCs w:val="28"/>
          <w:highlight w:val="none"/>
          <w:lang w:val="en-US" w:eastAsia="zh-CN"/>
        </w:rPr>
        <w:t>参照了《城市轨道交通正式运营前和运营期间安全评估管理暂行办法》（交运规〔2019〕16号）编制。</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5.2评估条件</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第1部分：地铁和轻轨》（交办运〔2019〕83号）中“第二章 前提条件”的内容编制，从初期运营满一年、初期运营问题整改、运营险性事件、验收资料及技术资料、初期运营报告等方面进行了规定。</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5.3评估指标</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第1部分：地铁和轻轨》（交办运〔2019〕83号）和《城市轨道交通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全自动运行系统规范》（T/CAMET 04017—2019）进行编制。</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5.4评估程序及方式</w:t>
      </w:r>
    </w:p>
    <w:p>
      <w:pPr>
        <w:spacing w:line="360" w:lineRule="auto"/>
        <w:ind w:firstLine="480" w:firstLineChars="200"/>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参照了</w:t>
      </w:r>
      <w:r>
        <w:rPr>
          <w:rFonts w:hint="default" w:ascii="宋体" w:hAnsi="宋体" w:eastAsia="宋体" w:cs="Times New Roman"/>
          <w:sz w:val="24"/>
          <w:szCs w:val="28"/>
          <w:lang w:val="en-US" w:eastAsia="zh-CN"/>
        </w:rPr>
        <w:t>《城市轨道交通正式运营前和运营期间安全评估管理暂行办法》</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交运规〔2019〕16号</w:t>
      </w:r>
      <w:r>
        <w:rPr>
          <w:rFonts w:hint="eastAsia" w:ascii="宋体" w:hAnsi="宋体" w:eastAsia="宋体" w:cs="Times New Roman"/>
          <w:sz w:val="24"/>
          <w:szCs w:val="28"/>
          <w:lang w:val="en-US" w:eastAsia="zh-CN"/>
        </w:rPr>
        <w:t>）的要求编制，规定导轨式胶轮系统安全评估由独立第三方机构实施，评估方式采取查阅资料、旁站检查、人员问询、列车添乘、专项检测等方式。</w:t>
      </w:r>
    </w:p>
    <w:p>
      <w:pPr>
        <w:numPr>
          <w:ilvl w:val="0"/>
          <w:numId w:val="3"/>
        </w:numPr>
        <w:spacing w:line="360" w:lineRule="auto"/>
        <w:ind w:left="0" w:leftChars="0" w:firstLine="480" w:firstLineChars="200"/>
        <w:outlineLvl w:val="1"/>
        <w:rPr>
          <w:rFonts w:hint="default" w:ascii="宋体" w:hAnsi="宋体" w:eastAsia="宋体" w:cs="Times New Roman"/>
          <w:sz w:val="24"/>
          <w:szCs w:val="28"/>
          <w:lang w:val="en-US" w:eastAsia="zh-CN"/>
        </w:rPr>
      </w:pPr>
      <w:r>
        <w:rPr>
          <w:rFonts w:hint="default" w:ascii="宋体" w:hAnsi="宋体" w:eastAsia="宋体" w:cs="Times New Roman"/>
          <w:sz w:val="24"/>
          <w:szCs w:val="28"/>
          <w:lang w:val="en-US" w:eastAsia="zh-CN"/>
        </w:rPr>
        <w:t>风险分级管控与隐患排查治理</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参照了《城市轨道交通正式运营前安全评估规范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地铁和轻轨》（交办运〔2019〕83号）和《城市轨道交通运营安全风险分级管控和隐患排查治理管理办法》（交运规〔2019〕7号）编制，对组织架构、安全管理制度、安全经费、工作机制等方面提出评估要求。</w:t>
      </w:r>
    </w:p>
    <w:p>
      <w:pPr>
        <w:numPr>
          <w:ilvl w:val="0"/>
          <w:numId w:val="3"/>
        </w:numPr>
        <w:spacing w:line="360" w:lineRule="auto"/>
        <w:ind w:left="0" w:leftChars="0" w:firstLine="480" w:firstLineChars="200"/>
        <w:outlineLvl w:val="1"/>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行车组织</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参照了《城市轨道交通正式运营前安全评估规范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第1部分：地铁和轻轨》（交办运〔2019〕83号）第十四条至第二十条编制，并根据导轨式胶轮系统与地铁、轻轨在运能、制式、牵引供电方式等方面的差异调整了部分内容。</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7.1条，结合导轨式胶轮系统全自动运行和低运能系统的特点，对行车组织管理制度中接发列车、停车、调车、行车指挥、降级运行等方面提出了评估要求。</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7.6条，非正常行车组织方案增加了列车续航不足的情况，行车调度员应根据导轨式胶轮系统列车续航里程和充电时间的特性进行运营计划调整。</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7.8条，结合《城市轨道交通正式运营前安全评估规范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第1部分：地铁和轻轨》（交办运〔2019〕83号）第二十三条与第二十四条，根据导轨式胶轮系统的牵引供电方式删除了不适用的接触网（轨）停送电管理规定相关的评估内容。</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7.9条，本条为导轨式胶轮系统特有的列车充电管理内容，增加了车辆充电安全管理的评估要求。</w:t>
      </w:r>
    </w:p>
    <w:p>
      <w:pPr>
        <w:numPr>
          <w:ilvl w:val="0"/>
          <w:numId w:val="3"/>
        </w:numPr>
        <w:spacing w:line="360" w:lineRule="auto"/>
        <w:ind w:left="0" w:leftChars="0" w:firstLine="480" w:firstLineChars="200"/>
        <w:outlineLvl w:val="1"/>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客运组织</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二十五条至第三十三条编制，结合导轨式胶轮系统低运能、车站规模小及组织架构精简的特点，删除了站台候车座椅、车控室、车站站长及车站施工请销点管理制度等不适用的内容，并对客运组织部分的内容进行了整合。</w:t>
      </w:r>
    </w:p>
    <w:p>
      <w:pPr>
        <w:numPr>
          <w:ilvl w:val="0"/>
          <w:numId w:val="3"/>
        </w:numPr>
        <w:spacing w:line="360" w:lineRule="auto"/>
        <w:ind w:left="0" w:leftChars="0" w:firstLine="480" w:firstLineChars="200"/>
        <w:outlineLvl w:val="1"/>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设施设备运行维护</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9.1一般规定</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参照了《城市轨道交通正式运营前安全评估规范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地铁和轻轨》（交办运〔2019〕83号）第三十四条至第四十条和《城市轨道交通设施设备运行维护管理办法》（交办运〔2019〕8号）编制，对设施设备查线核图工作、维护管理制度和技术文件、变更改造、保护区管理、设施设备运行分析报告及委外单位管理等方面进行了规定。</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9.1.6条，参照《城市轨道交通正式运营前安全评估规范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第1部分：地铁和轻轨》（交办运〔2019〕83号）第三十九条对设备系统运行指标提出了评估要求，所有指标均不低于83号文的规定。</w:t>
      </w:r>
    </w:p>
    <w:p>
      <w:pPr>
        <w:spacing w:line="360" w:lineRule="auto"/>
        <w:ind w:firstLine="480" w:firstLineChars="200"/>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9.1.7条，结合导轨式胶轮系统全自动运行的特点，根据《城市轨道交通</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全自动运行系统规范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第1部分：需求》（T/CAMET 040171.1—2019）中对全自动运行系统指标的要求，增加了列车退出全自动运行模式率、列车唤醒自检成功率及传输系统和车地无线系统不出现系统瘫痪、不发生影响系统运行的故障等评估要求。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9.2土建设施</w:t>
      </w:r>
    </w:p>
    <w:p>
      <w:pPr>
        <w:spacing w:line="360" w:lineRule="auto"/>
        <w:ind w:firstLine="480" w:firstLineChars="200"/>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9.2.1区间</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四十五条、第四十六条和第五十二条编制，对桥梁的巡查和监测频率、桥梁结构的养护和修复、附属设施的巡查和养护以及轨道梁线型平顺等方面提出了评估要求。</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9.2.2车站</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第1部分：地铁和轻轨》（交办运〔2019〕83号）第四十七条至第四十九条编制，对车站结构强度和刚度、车站装饰、楼梯、栏杆、防淹和排水设施等提出评估要求。</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9.2.3综合车场和控制中心</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第1部分：地铁和轻轨》（交办运〔2019〕83号）第五十条、第五十一条编制，对房建结构、检修平台结构良好、稳定提出了评估要求。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9.3车辆</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参照了《城市轨道交通正式运营前安全评估规范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第1部分：地铁和轻轨》（</w:t>
      </w:r>
      <w:r>
        <w:rPr>
          <w:rFonts w:hint="eastAsia" w:ascii="宋体" w:hAnsi="宋体" w:eastAsia="宋体" w:cs="Times New Roman"/>
          <w:sz w:val="24"/>
          <w:szCs w:val="28"/>
          <w:highlight w:val="none"/>
          <w:lang w:val="en-US" w:eastAsia="zh-CN"/>
        </w:rPr>
        <w:t>交办运〔2019〕83号），结合导轨式胶轮系统车辆技术文件，对车辆制动、超速防护、车门安全联锁和车辆紧急报警装置、车门紧急解锁装置、逃生门等乘</w:t>
      </w:r>
      <w:r>
        <w:rPr>
          <w:rFonts w:hint="eastAsia" w:ascii="宋体" w:hAnsi="宋体" w:eastAsia="宋体" w:cs="Times New Roman"/>
          <w:sz w:val="24"/>
          <w:szCs w:val="28"/>
          <w:lang w:val="en-US" w:eastAsia="zh-CN"/>
        </w:rPr>
        <w:t>客应急设备功能做了评估规定，并且对工程车、洗车机等工艺设备提出了评估要求。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9.4通信系统</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参照了《城市轨道交通正式运营前安全评估规范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地铁和轻轨》（交办运〔2019〕83号）第六十五条编制，对通信系统应保持正常、非正常或紧急情况下为运营管理、行车指挥、设备监控、火灾报警等进行语音、数据、图像等信息的传输正常提出了评估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9.5信号系统</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六十七至第七十二条编制，对信号系统安全防护功能、基本特性和接口特性、设备运行环境、硬件变更、软件升级等方面提出了评估要求，并增加了全自动运行功能的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9.6供电系统</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第1部分：地铁和轻轨》（交办运〔2019〕83号）第六十二条、第六十四条和《导轨式胶轮系统全自动运行线路运营场景规范》（T</w:t>
      </w:r>
      <w:r>
        <w:rPr>
          <w:rFonts w:hint="default" w:ascii="宋体" w:hAnsi="宋体" w:eastAsia="宋体" w:cs="Times New Roman"/>
          <w:sz w:val="24"/>
          <w:szCs w:val="28"/>
          <w:lang w:val="en-US" w:eastAsia="zh-CN"/>
        </w:rPr>
        <w:t>/</w:t>
      </w:r>
      <w:r>
        <w:rPr>
          <w:rFonts w:hint="eastAsia" w:ascii="宋体" w:hAnsi="宋体" w:eastAsia="宋体" w:cs="Times New Roman"/>
          <w:sz w:val="24"/>
          <w:szCs w:val="28"/>
          <w:lang w:val="en-US" w:eastAsia="zh-CN"/>
        </w:rPr>
        <w:t>URTA 0003）编制，导轨式胶轮系统供电系统与地铁、轻轨等有较大差异，本标准中将“主变电所支援供电分区”改为“供电分区支援供电”，将“35kV”分段开关改为“10kV”分段开关，内容调整为更适合导轨式胶轮系统的安全评估要求。</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9.6.3条，列车自动充电为导轨式胶轮系统特有的作业，对于《导轨式胶轮系统全自动运行线路运营场景规范》（T</w:t>
      </w:r>
      <w:r>
        <w:rPr>
          <w:rFonts w:hint="default" w:ascii="宋体" w:hAnsi="宋体" w:eastAsia="宋体" w:cs="Times New Roman"/>
          <w:sz w:val="24"/>
          <w:szCs w:val="28"/>
          <w:lang w:val="en-US" w:eastAsia="zh-CN"/>
        </w:rPr>
        <w:t>/</w:t>
      </w:r>
      <w:r>
        <w:rPr>
          <w:rFonts w:hint="eastAsia" w:ascii="宋体" w:hAnsi="宋体" w:eastAsia="宋体" w:cs="Times New Roman"/>
          <w:sz w:val="24"/>
          <w:szCs w:val="28"/>
          <w:lang w:val="en-US" w:eastAsia="zh-CN"/>
        </w:rPr>
        <w:t>URTA 0003—2021）中的自动充电场景需求，评估时可通过智能充电监控系统核查。</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9.7自动售检票系统</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参照了《城市轨道交通正式运营前安全评估规范</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 xml:space="preserve"> 第1部分：地铁和轻轨》（交办运〔2019〕83号）第七十三条和</w:t>
      </w:r>
      <w:r>
        <w:rPr>
          <w:rFonts w:hint="default" w:ascii="宋体" w:hAnsi="宋体" w:eastAsia="宋体" w:cs="Times New Roman"/>
          <w:sz w:val="24"/>
          <w:szCs w:val="28"/>
          <w:lang w:val="en-US" w:eastAsia="zh-CN"/>
        </w:rPr>
        <w:t>《城市轨道交通自动售检票系统技术条件》（GB/T 20907—2007)</w:t>
      </w:r>
      <w:r>
        <w:rPr>
          <w:rFonts w:hint="eastAsia" w:ascii="宋体" w:hAnsi="宋体" w:eastAsia="宋体" w:cs="Times New Roman"/>
          <w:sz w:val="24"/>
          <w:szCs w:val="28"/>
          <w:lang w:val="en-US" w:eastAsia="zh-CN"/>
        </w:rPr>
        <w:t>编制。</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9.8综合监控系统</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第1部分：地铁和轻轨》（交办运〔2019〕83号）第七十五条和</w:t>
      </w:r>
      <w:r>
        <w:rPr>
          <w:rFonts w:hint="default" w:ascii="宋体" w:hAnsi="宋体" w:eastAsia="宋体" w:cs="Times New Roman"/>
          <w:sz w:val="24"/>
          <w:szCs w:val="28"/>
          <w:lang w:val="en-US" w:eastAsia="zh-CN"/>
        </w:rPr>
        <w:t>《城市轨道交通运营管理规范》（GB/T 30012—2013)</w:t>
      </w:r>
      <w:r>
        <w:rPr>
          <w:rFonts w:hint="eastAsia" w:ascii="宋体" w:hAnsi="宋体" w:eastAsia="宋体" w:cs="Times New Roman"/>
          <w:sz w:val="24"/>
          <w:szCs w:val="28"/>
          <w:lang w:val="en-US" w:eastAsia="zh-CN"/>
        </w:rPr>
        <w:t>编制，对综合监控系统有效监视或控制提出了评估要求。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9.9火灾自动报警系统</w:t>
      </w:r>
    </w:p>
    <w:p>
      <w:pPr>
        <w:spacing w:line="360" w:lineRule="auto"/>
        <w:ind w:firstLine="480" w:firstLineChars="200"/>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第1部分：地铁和轻轨》（交办运〔2019〕83号）第七十九条编制。</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9.10电梯、自动扶梯</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第1部分：地铁和轻轨》（交办运〔2019〕83号）第七十七条及依据《电梯安全要求》（GB 24803）和</w:t>
      </w:r>
      <w:r>
        <w:rPr>
          <w:rFonts w:hint="default" w:ascii="宋体" w:hAnsi="宋体" w:eastAsia="宋体" w:cs="Times New Roman"/>
          <w:sz w:val="24"/>
          <w:szCs w:val="28"/>
          <w:lang w:val="en-US" w:eastAsia="zh-CN"/>
        </w:rPr>
        <w:t>《自动扶梯和自动人行道的制造与安装</w:t>
      </w:r>
      <w:r>
        <w:rPr>
          <w:rFonts w:hint="eastAsia" w:ascii="宋体" w:hAnsi="宋体" w:eastAsia="宋体" w:cs="Times New Roman"/>
          <w:sz w:val="24"/>
          <w:szCs w:val="28"/>
          <w:lang w:val="en-US" w:eastAsia="zh-CN"/>
        </w:rPr>
        <w:t>安全</w:t>
      </w:r>
      <w:r>
        <w:rPr>
          <w:rFonts w:hint="default" w:ascii="宋体" w:hAnsi="宋体" w:eastAsia="宋体" w:cs="Times New Roman"/>
          <w:sz w:val="24"/>
          <w:szCs w:val="28"/>
          <w:lang w:val="en-US" w:eastAsia="zh-CN"/>
        </w:rPr>
        <w:t>规范》(GB 16899—2011)</w:t>
      </w:r>
      <w:r>
        <w:rPr>
          <w:rFonts w:hint="eastAsia" w:ascii="宋体" w:hAnsi="宋体" w:eastAsia="宋体" w:cs="Times New Roman"/>
          <w:sz w:val="24"/>
          <w:szCs w:val="28"/>
          <w:lang w:val="en-US" w:eastAsia="zh-CN"/>
        </w:rPr>
        <w:t>的要求编制。</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9.11通风空调系统</w:t>
      </w:r>
    </w:p>
    <w:p>
      <w:pPr>
        <w:spacing w:line="360" w:lineRule="auto"/>
        <w:ind w:firstLine="480" w:firstLineChars="200"/>
        <w:rPr>
          <w:rFonts w:hint="eastAsia" w:ascii="宋体" w:hAnsi="宋体" w:eastAsia="宋体" w:cs="Times New Roman"/>
          <w:sz w:val="24"/>
          <w:szCs w:val="28"/>
          <w:highlight w:val="none"/>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第1部分：地铁和轻轨》（交办运〔2019〕83号）第七十四条编制，对各类通风模式</w:t>
      </w:r>
      <w:r>
        <w:rPr>
          <w:rFonts w:hint="eastAsia" w:ascii="宋体" w:hAnsi="宋体" w:eastAsia="宋体" w:cs="Times New Roman"/>
          <w:sz w:val="24"/>
          <w:szCs w:val="28"/>
          <w:highlight w:val="none"/>
          <w:lang w:val="en-US" w:eastAsia="zh-CN"/>
        </w:rPr>
        <w:t>、与综合监控系统的联动提出评估要求。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9.12给排水及消防系统</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第1部分：地铁和轻轨》（交办运〔2019〕83号）第七十八条编制，对给排水及消防系统的水量、水压和水质提出评估要求。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9.13站台门</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第1部分：地铁和轻轨》（交办运〔2019〕83号）第七十六条编制，并提出针对性的评估要求。</w:t>
      </w:r>
    </w:p>
    <w:p>
      <w:pPr>
        <w:spacing w:line="360" w:lineRule="auto"/>
        <w:ind w:firstLine="480" w:firstLineChars="200"/>
        <w:outlineLvl w:val="2"/>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9.14道岔</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第1部分：地铁和轻轨》（交办运〔2019〕83号）第五十三条编制，并结合导轨式胶轮系统道岔的技术要求，对道岔的状态及控制反应情况提出了评估要求。</w:t>
      </w:r>
    </w:p>
    <w:p>
      <w:pPr>
        <w:numPr>
          <w:ilvl w:val="0"/>
          <w:numId w:val="3"/>
        </w:numPr>
        <w:spacing w:line="360" w:lineRule="auto"/>
        <w:ind w:left="0" w:leftChars="0" w:firstLine="480" w:firstLineChars="200"/>
        <w:outlineLvl w:val="1"/>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运营人员</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导轨式胶轮系统运营人员与地铁、轻轨制式的管理原则基本相同，主要参照了《城市轨道交通正式运营前安全评估规范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八十条至第八十二条编制，但导轨式胶轮系统运营人员的组织架构精简、岗位职责复合，且导轨式胶轮系统采用全自动运行技术，在岗位设置上与传统城市轨道交通有所差异，因此对培训内容和培训学时的要求进行了一定的调整。</w:t>
      </w:r>
    </w:p>
    <w:p>
      <w:pPr>
        <w:numPr>
          <w:ilvl w:val="0"/>
          <w:numId w:val="3"/>
        </w:numPr>
        <w:spacing w:line="360" w:lineRule="auto"/>
        <w:ind w:left="0" w:leftChars="0" w:firstLine="480" w:firstLineChars="200"/>
        <w:outlineLvl w:val="1"/>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应急管理</w:t>
      </w:r>
    </w:p>
    <w:p>
      <w:pPr>
        <w:spacing w:line="360" w:lineRule="auto"/>
        <w:ind w:firstLine="480" w:firstLineChars="200"/>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 xml:space="preserve">参照了《城市轨道交通正式运营前安全评估规范 </w:t>
      </w:r>
      <w:r>
        <w:rPr>
          <w:rFonts w:hint="default" w:ascii="宋体" w:hAnsi="宋体" w:eastAsia="宋体" w:cs="Times New Roman"/>
          <w:sz w:val="24"/>
          <w:szCs w:val="28"/>
          <w:lang w:val="en-US" w:eastAsia="zh-CN"/>
        </w:rPr>
        <w:t xml:space="preserve"> </w:t>
      </w:r>
      <w:r>
        <w:rPr>
          <w:rFonts w:hint="eastAsia" w:ascii="宋体" w:hAnsi="宋体" w:eastAsia="宋体" w:cs="Times New Roman"/>
          <w:sz w:val="24"/>
          <w:szCs w:val="28"/>
          <w:lang w:val="en-US" w:eastAsia="zh-CN"/>
        </w:rPr>
        <w:t>第1部分：地铁和轻轨》（交办运〔2019〕83号）第八十四条至第八十九条和《城市轨道交通运营突发事件应急演练管理办法》（交运规〔2019〕9号）的要求编制，对突发事件处置工作机制、完善应急预案、应急演练开展情况、应急物资和应急抢险队伍、运营险性事件分析报告及安全警示和教育等方面提出了评估要求。</w:t>
      </w:r>
    </w:p>
    <w:p>
      <w:pPr>
        <w:numPr>
          <w:ilvl w:val="0"/>
          <w:numId w:val="3"/>
        </w:numPr>
        <w:spacing w:line="360" w:lineRule="auto"/>
        <w:ind w:left="0" w:leftChars="0" w:firstLine="480" w:firstLineChars="200"/>
        <w:outlineLvl w:val="1"/>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附录A</w:t>
      </w:r>
    </w:p>
    <w:p>
      <w:pPr>
        <w:spacing w:line="360" w:lineRule="auto"/>
        <w:ind w:firstLine="480" w:firstLineChars="200"/>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参照了</w:t>
      </w:r>
      <w:r>
        <w:rPr>
          <w:rFonts w:hint="default" w:ascii="宋体" w:hAnsi="宋体" w:eastAsia="宋体" w:cs="Times New Roman"/>
          <w:sz w:val="24"/>
          <w:szCs w:val="28"/>
          <w:lang w:val="en-US" w:eastAsia="zh-CN"/>
        </w:rPr>
        <w:t>《城市轨道交通初期运营前安全评估技术规范  第1部分：地铁和轻轨》</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交办运〔2019〕17号</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、《城市轨道交通运营指标体系》</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GB/T 38374</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2019</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，将标准中涉及的13个指标</w:t>
      </w:r>
      <w:r>
        <w:rPr>
          <w:rFonts w:hint="eastAsia" w:ascii="宋体" w:hAnsi="宋体" w:eastAsia="宋体" w:cs="Times New Roman"/>
          <w:sz w:val="24"/>
          <w:szCs w:val="28"/>
          <w:lang w:val="en-US" w:eastAsia="zh-CN"/>
        </w:rPr>
        <w:t>的</w:t>
      </w:r>
      <w:r>
        <w:rPr>
          <w:rFonts w:hint="default" w:ascii="宋体" w:hAnsi="宋体" w:eastAsia="宋体" w:cs="Times New Roman"/>
          <w:sz w:val="24"/>
          <w:szCs w:val="28"/>
          <w:lang w:val="en-US" w:eastAsia="zh-CN"/>
        </w:rPr>
        <w:t>定义、计算方式规范性列出，并根据本系统特点在17号文基础上重新定义A.7</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供电系统故障率</w:t>
      </w:r>
      <w:r>
        <w:rPr>
          <w:rFonts w:hint="eastAsia" w:ascii="宋体" w:hAnsi="宋体" w:eastAsia="宋体" w:cs="Times New Roman"/>
          <w:sz w:val="24"/>
          <w:szCs w:val="28"/>
          <w:lang w:val="en-US" w:eastAsia="zh-CN"/>
        </w:rPr>
        <w:t>”</w:t>
      </w:r>
      <w:r>
        <w:rPr>
          <w:rFonts w:hint="default" w:ascii="宋体" w:hAnsi="宋体" w:eastAsia="宋体" w:cs="Times New Roman"/>
          <w:sz w:val="24"/>
          <w:szCs w:val="28"/>
          <w:lang w:val="en-US" w:eastAsia="zh-CN"/>
        </w:rPr>
        <w:t>的故障统计</w:t>
      </w:r>
      <w:r>
        <w:rPr>
          <w:rFonts w:hint="eastAsia" w:ascii="宋体" w:hAnsi="宋体" w:eastAsia="宋体" w:cs="Times New Roman"/>
          <w:sz w:val="24"/>
          <w:szCs w:val="28"/>
          <w:lang w:val="en-US" w:eastAsia="zh-CN"/>
        </w:rPr>
        <w:t>方法</w:t>
      </w:r>
      <w:r>
        <w:rPr>
          <w:rFonts w:hint="default" w:ascii="宋体" w:hAnsi="宋体" w:eastAsia="宋体" w:cs="Times New Roman"/>
          <w:sz w:val="24"/>
          <w:szCs w:val="28"/>
          <w:lang w:val="en-US" w:eastAsia="zh-CN"/>
        </w:rPr>
        <w:t>。</w:t>
      </w:r>
    </w:p>
    <w:p>
      <w:pPr>
        <w:outlineLvl w:val="0"/>
        <w:rPr>
          <w:rFonts w:ascii="Times New Roman" w:hAnsi="Times New Roman" w:eastAsia="宋体" w:cs="Times New Roman"/>
          <w:b/>
          <w:sz w:val="28"/>
          <w:szCs w:val="28"/>
        </w:rPr>
      </w:pPr>
      <w:bookmarkStart w:id="12" w:name="_Toc74140573"/>
      <w:r>
        <w:rPr>
          <w:rFonts w:hint="eastAsia" w:ascii="Times New Roman" w:hAnsi="Times New Roman" w:eastAsia="宋体" w:cs="Times New Roman"/>
          <w:b/>
          <w:sz w:val="28"/>
          <w:szCs w:val="28"/>
        </w:rPr>
        <w:t>八</w:t>
      </w:r>
      <w:r>
        <w:rPr>
          <w:rFonts w:ascii="Times New Roman" w:hAnsi="Times New Roman" w:eastAsia="宋体" w:cs="Times New Roman"/>
          <w:b/>
          <w:sz w:val="28"/>
          <w:szCs w:val="28"/>
        </w:rPr>
        <w:t>、标准实施建议</w:t>
      </w:r>
      <w:bookmarkEnd w:id="12"/>
    </w:p>
    <w:p>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本标准可作为运营安全评估单位开展导轨式胶轮系统正式运营安全评估的依据，也可作为导轨式胶轮系统运营管理单位开展运营工作的指导文件，切实做到安全运营。</w:t>
      </w:r>
    </w:p>
    <w:p>
      <w:pPr>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在实施本标准前，应结合运营安全评估工作组织相关部门、人员进行学习，使有关部门准确、深刻领会标准的内容和执行流程</w:t>
      </w:r>
      <w:r>
        <w:rPr>
          <w:rFonts w:hint="eastAsia" w:ascii="Times New Roman" w:hAnsi="Times New Roman" w:eastAsia="宋体" w:cs="Times New Roman"/>
          <w:sz w:val="24"/>
          <w:szCs w:val="24"/>
          <w:highlight w:val="none"/>
          <w:lang w:val="en-US" w:eastAsia="zh-CN"/>
        </w:rPr>
        <w:t>。</w:t>
      </w:r>
    </w:p>
    <w:p>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本标准针对导轨式胶轮系统提出了全面的正式运营安全评估要求，在具体应用时，应根据线路实际需求使用本标准。</w:t>
      </w:r>
    </w:p>
    <w:p>
      <w:pPr>
        <w:outlineLvl w:val="0"/>
        <w:rPr>
          <w:rFonts w:ascii="Times New Roman" w:hAnsi="Times New Roman" w:eastAsia="宋体" w:cs="Times New Roman"/>
          <w:b/>
          <w:sz w:val="28"/>
          <w:szCs w:val="28"/>
          <w:highlight w:val="none"/>
        </w:rPr>
      </w:pPr>
      <w:bookmarkStart w:id="13" w:name="_Toc74140574"/>
      <w:r>
        <w:rPr>
          <w:rFonts w:hint="eastAsia" w:ascii="Times New Roman" w:hAnsi="Times New Roman" w:eastAsia="宋体" w:cs="Times New Roman"/>
          <w:b/>
          <w:sz w:val="28"/>
          <w:szCs w:val="28"/>
          <w:highlight w:val="none"/>
        </w:rPr>
        <w:t>九</w:t>
      </w:r>
      <w:r>
        <w:rPr>
          <w:rFonts w:ascii="Times New Roman" w:hAnsi="Times New Roman" w:eastAsia="宋体" w:cs="Times New Roman"/>
          <w:b/>
          <w:sz w:val="28"/>
          <w:szCs w:val="28"/>
          <w:highlight w:val="none"/>
        </w:rPr>
        <w:t>、标准起草单位及人员</w:t>
      </w:r>
      <w:bookmarkEnd w:id="13"/>
    </w:p>
    <w:p>
      <w:pPr>
        <w:numPr>
          <w:ilvl w:val="0"/>
          <w:numId w:val="4"/>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主编</w:t>
      </w:r>
      <w:r>
        <w:rPr>
          <w:rFonts w:hint="eastAsia" w:ascii="宋体" w:hAnsi="宋体" w:eastAsia="宋体" w:cs="宋体"/>
          <w:b/>
          <w:sz w:val="24"/>
          <w:szCs w:val="24"/>
        </w:rPr>
        <w:t>单位</w:t>
      </w:r>
    </w:p>
    <w:p>
      <w:pPr>
        <w:spacing w:line="360" w:lineRule="auto"/>
        <w:ind w:firstLine="480" w:firstLineChars="200"/>
        <w:rPr>
          <w:rFonts w:hint="eastAsia" w:ascii="宋体" w:hAnsi="宋体" w:eastAsia="宋体" w:cs="宋体"/>
          <w:b w:val="0"/>
          <w:sz w:val="24"/>
          <w:szCs w:val="24"/>
        </w:rPr>
      </w:pPr>
      <w:r>
        <w:rPr>
          <w:rFonts w:hint="eastAsia" w:ascii="宋体" w:hAnsi="宋体" w:eastAsia="宋体" w:cs="宋体"/>
          <w:b w:val="0"/>
          <w:sz w:val="24"/>
          <w:szCs w:val="24"/>
        </w:rPr>
        <w:t>比亚迪汽车工业有限公司</w:t>
      </w:r>
    </w:p>
    <w:p>
      <w:pPr>
        <w:numPr>
          <w:ilvl w:val="0"/>
          <w:numId w:val="4"/>
        </w:numPr>
        <w:spacing w:line="360" w:lineRule="auto"/>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参编单位</w:t>
      </w:r>
    </w:p>
    <w:p>
      <w:pPr>
        <w:spacing w:line="360" w:lineRule="auto"/>
        <w:ind w:firstLine="480" w:firstLineChars="20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广州地铁设计研究院股份有限公司、深圳市市政设计研究院有限公司、北京城建设计发展集团股份有限公司、深圳市东部城市轨道交通投资建设有限公司、深圳市龙岗区新轨道交通管理有限公司、深圳市龙华建设发展有限公司、湖南湘江新区投资集团有限公司、湖南省工程建设监理有限公司、中咨工程管理咨询有限公司、西安高新区市政配套建设有限公司、南宁轨道交通集团有限责任公司、深圳比亚迪轨道交通运营有限公司、比亚迪建设工程有限公司、比亚迪勘察设计有限公司、比亚迪机电设备有限公司、比亚迪通信信号有限公司、重庆云巴轨道交通运营管理有限公司</w:t>
      </w:r>
    </w:p>
    <w:p>
      <w:pPr>
        <w:numPr>
          <w:ilvl w:val="0"/>
          <w:numId w:val="4"/>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主编人员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刘世雄、林鸿全、康华玲</w:t>
      </w:r>
    </w:p>
    <w:p>
      <w:pPr>
        <w:numPr>
          <w:ilvl w:val="0"/>
          <w:numId w:val="4"/>
        </w:numPr>
        <w:spacing w:line="360" w:lineRule="auto"/>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参编人员</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郭淑萍、马忠义、韩君怡、滕秀霜、余海涛、古宇标、刘国政、林跃明、何燕娜、谢新华、李科、何飞、刘杨、刘永波、兰塔、王俊凌、陈小林、刘秋生、丁强、赵伟、赵阳、李文钦、梁峰、张亚光、李保林、廖文彬、黄志平、李国栋、黄伟林、王松权、方东明、刘晓迎、易洪、田继强、马龙飞、何倬、郭按杨、李文君、邵辉、王亚鹏、罗甍、王炳华、韩嘉、张世荣、冯光福、莫志刚、何旭升、李慧、晏艳珍、宿李、李斯新、梁伦富、杨东周、温强、王高锋、史秀荣、蒋坤、周子贤、林建明、卢维军、郭瑶、窦玉田、陈金海、饶江波、刘振华、刘伟华、江锋、吴智利、王志、谭新艳、李志辉、王勇、詹勇、梁利仲、蒋海川、周伟文、刘睿瑶</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MT">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1805093"/>
      <w:docPartObj>
        <w:docPartGallery w:val="autotext"/>
      </w:docPartObj>
    </w:sdtPr>
    <w:sdtEndPr>
      <w:rPr>
        <w:rFonts w:ascii="宋体" w:hAnsi="宋体" w:eastAsia="宋体"/>
      </w:rPr>
    </w:sdtEndPr>
    <w:sdtContent>
      <w:p>
        <w:pPr>
          <w:pStyle w:val="5"/>
          <w:jc w:val="center"/>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13</w:t>
        </w:r>
        <w:r>
          <w:rPr>
            <w:rFonts w:ascii="宋体" w:hAnsi="宋体" w:eastAsia="宋体"/>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《导轨式胶轮系统</w:t>
    </w:r>
    <w:r>
      <w:rPr>
        <w:rFonts w:hint="eastAsia"/>
        <w:lang w:val="en-US" w:eastAsia="zh-CN"/>
      </w:rPr>
      <w:t>正式运营安全评估规范</w:t>
    </w:r>
    <w:r>
      <w:rPr>
        <w:rFonts w:hint="eastAsia"/>
      </w:rPr>
      <w:t>》编制说明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B55706"/>
    <w:multiLevelType w:val="singleLevel"/>
    <w:tmpl w:val="D2B55706"/>
    <w:lvl w:ilvl="0" w:tentative="0">
      <w:start w:val="1"/>
      <w:numFmt w:val="decimal"/>
      <w:lvlText w:val="(%1)"/>
      <w:lvlJc w:val="left"/>
      <w:pPr>
        <w:ind w:left="425" w:hanging="425"/>
      </w:pPr>
      <w:rPr>
        <w:rFonts w:hint="default"/>
      </w:rPr>
    </w:lvl>
  </w:abstractNum>
  <w:abstractNum w:abstractNumId="1">
    <w:nsid w:val="E302C1A5"/>
    <w:multiLevelType w:val="singleLevel"/>
    <w:tmpl w:val="E302C1A5"/>
    <w:lvl w:ilvl="0" w:tentative="0">
      <w:start w:val="1"/>
      <w:numFmt w:val="decimal"/>
      <w:suff w:val="space"/>
      <w:lvlText w:val="%1."/>
      <w:lvlJc w:val="left"/>
    </w:lvl>
  </w:abstractNum>
  <w:abstractNum w:abstractNumId="2">
    <w:nsid w:val="E50E6602"/>
    <w:multiLevelType w:val="singleLevel"/>
    <w:tmpl w:val="E50E6602"/>
    <w:lvl w:ilvl="0" w:tentative="0">
      <w:start w:val="1"/>
      <w:numFmt w:val="decimal"/>
      <w:suff w:val="nothing"/>
      <w:lvlText w:val="%1．"/>
      <w:lvlJc w:val="left"/>
      <w:pPr>
        <w:ind w:left="0" w:firstLine="400"/>
      </w:pPr>
      <w:rPr>
        <w:rFonts w:hint="default" w:ascii="宋体" w:hAnsi="宋体" w:eastAsia="宋体" w:cs="宋体"/>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pStyle w:val="1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657"/>
    <w:rsid w:val="000041EE"/>
    <w:rsid w:val="00014DB8"/>
    <w:rsid w:val="00025554"/>
    <w:rsid w:val="00036C62"/>
    <w:rsid w:val="00051790"/>
    <w:rsid w:val="00053AD5"/>
    <w:rsid w:val="00056492"/>
    <w:rsid w:val="00067B91"/>
    <w:rsid w:val="00067D3E"/>
    <w:rsid w:val="00077032"/>
    <w:rsid w:val="00086A48"/>
    <w:rsid w:val="00090D8E"/>
    <w:rsid w:val="00091486"/>
    <w:rsid w:val="0009714C"/>
    <w:rsid w:val="000A6D14"/>
    <w:rsid w:val="000B4CA0"/>
    <w:rsid w:val="000E06DB"/>
    <w:rsid w:val="000F3412"/>
    <w:rsid w:val="00105E70"/>
    <w:rsid w:val="00111C9B"/>
    <w:rsid w:val="00112B9C"/>
    <w:rsid w:val="00116AF8"/>
    <w:rsid w:val="00131729"/>
    <w:rsid w:val="00132B4F"/>
    <w:rsid w:val="001346EB"/>
    <w:rsid w:val="00147BA0"/>
    <w:rsid w:val="00151205"/>
    <w:rsid w:val="001603E2"/>
    <w:rsid w:val="00165CAA"/>
    <w:rsid w:val="001720CB"/>
    <w:rsid w:val="00172DA0"/>
    <w:rsid w:val="00175954"/>
    <w:rsid w:val="00185139"/>
    <w:rsid w:val="001979B6"/>
    <w:rsid w:val="001A6111"/>
    <w:rsid w:val="001B109A"/>
    <w:rsid w:val="001D4D74"/>
    <w:rsid w:val="001D5D7C"/>
    <w:rsid w:val="001E1471"/>
    <w:rsid w:val="001E15BF"/>
    <w:rsid w:val="001F01D2"/>
    <w:rsid w:val="001F6147"/>
    <w:rsid w:val="00200BE9"/>
    <w:rsid w:val="00205FDB"/>
    <w:rsid w:val="00232C2B"/>
    <w:rsid w:val="002336AC"/>
    <w:rsid w:val="0023557C"/>
    <w:rsid w:val="00253580"/>
    <w:rsid w:val="00271C55"/>
    <w:rsid w:val="00272DD6"/>
    <w:rsid w:val="00277899"/>
    <w:rsid w:val="00277985"/>
    <w:rsid w:val="00283144"/>
    <w:rsid w:val="00283659"/>
    <w:rsid w:val="00293A8D"/>
    <w:rsid w:val="002A09F1"/>
    <w:rsid w:val="002A3B5D"/>
    <w:rsid w:val="002A4093"/>
    <w:rsid w:val="002A45C3"/>
    <w:rsid w:val="002B5899"/>
    <w:rsid w:val="002C429D"/>
    <w:rsid w:val="002C4B68"/>
    <w:rsid w:val="002D4B06"/>
    <w:rsid w:val="002D558F"/>
    <w:rsid w:val="002D6E35"/>
    <w:rsid w:val="003056DE"/>
    <w:rsid w:val="00320EA6"/>
    <w:rsid w:val="00330AB1"/>
    <w:rsid w:val="003336B0"/>
    <w:rsid w:val="00346F30"/>
    <w:rsid w:val="0035507C"/>
    <w:rsid w:val="003555CE"/>
    <w:rsid w:val="0036538A"/>
    <w:rsid w:val="003662DA"/>
    <w:rsid w:val="0039221B"/>
    <w:rsid w:val="00396A07"/>
    <w:rsid w:val="003979D3"/>
    <w:rsid w:val="003A005E"/>
    <w:rsid w:val="003A7B19"/>
    <w:rsid w:val="003B084C"/>
    <w:rsid w:val="003B1BE7"/>
    <w:rsid w:val="003C6603"/>
    <w:rsid w:val="003D4235"/>
    <w:rsid w:val="003D64A9"/>
    <w:rsid w:val="003D743D"/>
    <w:rsid w:val="003F01A1"/>
    <w:rsid w:val="003F2A0A"/>
    <w:rsid w:val="003F5CE0"/>
    <w:rsid w:val="003F608B"/>
    <w:rsid w:val="00401711"/>
    <w:rsid w:val="00403362"/>
    <w:rsid w:val="00410F81"/>
    <w:rsid w:val="00411E9F"/>
    <w:rsid w:val="00411FEC"/>
    <w:rsid w:val="00426AAA"/>
    <w:rsid w:val="00431CD3"/>
    <w:rsid w:val="00444E62"/>
    <w:rsid w:val="00445848"/>
    <w:rsid w:val="004517C1"/>
    <w:rsid w:val="004550E2"/>
    <w:rsid w:val="00455FC5"/>
    <w:rsid w:val="00461949"/>
    <w:rsid w:val="00467CDC"/>
    <w:rsid w:val="00470FAD"/>
    <w:rsid w:val="00474381"/>
    <w:rsid w:val="00476E24"/>
    <w:rsid w:val="0048275F"/>
    <w:rsid w:val="004858A9"/>
    <w:rsid w:val="00486E46"/>
    <w:rsid w:val="00490456"/>
    <w:rsid w:val="00492BB5"/>
    <w:rsid w:val="00493DE4"/>
    <w:rsid w:val="004941B5"/>
    <w:rsid w:val="00494E1E"/>
    <w:rsid w:val="00494F2C"/>
    <w:rsid w:val="004972DA"/>
    <w:rsid w:val="004B3166"/>
    <w:rsid w:val="004B55B1"/>
    <w:rsid w:val="004C1FC0"/>
    <w:rsid w:val="004C6C10"/>
    <w:rsid w:val="004D276C"/>
    <w:rsid w:val="004E06AF"/>
    <w:rsid w:val="004E7657"/>
    <w:rsid w:val="004F0491"/>
    <w:rsid w:val="004F07CF"/>
    <w:rsid w:val="004F2837"/>
    <w:rsid w:val="004F6BDE"/>
    <w:rsid w:val="00502F4F"/>
    <w:rsid w:val="005048A7"/>
    <w:rsid w:val="00505D0C"/>
    <w:rsid w:val="00512662"/>
    <w:rsid w:val="00521C74"/>
    <w:rsid w:val="00524D1A"/>
    <w:rsid w:val="0053051A"/>
    <w:rsid w:val="00535D0B"/>
    <w:rsid w:val="0053606C"/>
    <w:rsid w:val="0054594A"/>
    <w:rsid w:val="00545C22"/>
    <w:rsid w:val="005509A9"/>
    <w:rsid w:val="00557D2D"/>
    <w:rsid w:val="0056345B"/>
    <w:rsid w:val="005647C7"/>
    <w:rsid w:val="00565D2C"/>
    <w:rsid w:val="00566C9A"/>
    <w:rsid w:val="005677ED"/>
    <w:rsid w:val="00571C2A"/>
    <w:rsid w:val="00573FCC"/>
    <w:rsid w:val="005774FC"/>
    <w:rsid w:val="005836EA"/>
    <w:rsid w:val="005879E0"/>
    <w:rsid w:val="00593693"/>
    <w:rsid w:val="00594192"/>
    <w:rsid w:val="00595219"/>
    <w:rsid w:val="00597640"/>
    <w:rsid w:val="005A4FD9"/>
    <w:rsid w:val="005A6B9F"/>
    <w:rsid w:val="005C5742"/>
    <w:rsid w:val="005D1E26"/>
    <w:rsid w:val="005D5213"/>
    <w:rsid w:val="005F238F"/>
    <w:rsid w:val="005F576D"/>
    <w:rsid w:val="005F5EC8"/>
    <w:rsid w:val="005F7795"/>
    <w:rsid w:val="00612196"/>
    <w:rsid w:val="00621AB5"/>
    <w:rsid w:val="00624DC1"/>
    <w:rsid w:val="006275BB"/>
    <w:rsid w:val="0063125A"/>
    <w:rsid w:val="0063212C"/>
    <w:rsid w:val="00645593"/>
    <w:rsid w:val="006473C0"/>
    <w:rsid w:val="0065616A"/>
    <w:rsid w:val="00660C0C"/>
    <w:rsid w:val="006677A6"/>
    <w:rsid w:val="00667D7A"/>
    <w:rsid w:val="00671693"/>
    <w:rsid w:val="00673690"/>
    <w:rsid w:val="00681EF9"/>
    <w:rsid w:val="00684261"/>
    <w:rsid w:val="006876F8"/>
    <w:rsid w:val="006A46A0"/>
    <w:rsid w:val="006B0E55"/>
    <w:rsid w:val="006E02F7"/>
    <w:rsid w:val="006E26F3"/>
    <w:rsid w:val="006E3D67"/>
    <w:rsid w:val="006E73D1"/>
    <w:rsid w:val="006F0DA4"/>
    <w:rsid w:val="006F7D3C"/>
    <w:rsid w:val="0071079E"/>
    <w:rsid w:val="00717263"/>
    <w:rsid w:val="007206ED"/>
    <w:rsid w:val="00720DC8"/>
    <w:rsid w:val="00727FC1"/>
    <w:rsid w:val="00741202"/>
    <w:rsid w:val="00755D22"/>
    <w:rsid w:val="007615BB"/>
    <w:rsid w:val="00764C31"/>
    <w:rsid w:val="00770B79"/>
    <w:rsid w:val="0077201A"/>
    <w:rsid w:val="00776904"/>
    <w:rsid w:val="00792F72"/>
    <w:rsid w:val="00796008"/>
    <w:rsid w:val="007B181D"/>
    <w:rsid w:val="007B1D26"/>
    <w:rsid w:val="007C0346"/>
    <w:rsid w:val="007C26EC"/>
    <w:rsid w:val="007C47BF"/>
    <w:rsid w:val="007F370F"/>
    <w:rsid w:val="007F4366"/>
    <w:rsid w:val="007F558E"/>
    <w:rsid w:val="00800F2D"/>
    <w:rsid w:val="00801A98"/>
    <w:rsid w:val="0080272D"/>
    <w:rsid w:val="00803771"/>
    <w:rsid w:val="00811CFA"/>
    <w:rsid w:val="00814888"/>
    <w:rsid w:val="008220D2"/>
    <w:rsid w:val="0082549E"/>
    <w:rsid w:val="008258C6"/>
    <w:rsid w:val="00833622"/>
    <w:rsid w:val="008459F1"/>
    <w:rsid w:val="00854F80"/>
    <w:rsid w:val="00860A58"/>
    <w:rsid w:val="008623E4"/>
    <w:rsid w:val="00867AAB"/>
    <w:rsid w:val="008736F5"/>
    <w:rsid w:val="0087635B"/>
    <w:rsid w:val="00876376"/>
    <w:rsid w:val="00881915"/>
    <w:rsid w:val="00884C9C"/>
    <w:rsid w:val="008879FC"/>
    <w:rsid w:val="00893A2A"/>
    <w:rsid w:val="008B1E3A"/>
    <w:rsid w:val="008C1FEE"/>
    <w:rsid w:val="008C2338"/>
    <w:rsid w:val="008C7AD1"/>
    <w:rsid w:val="008D581F"/>
    <w:rsid w:val="008D662B"/>
    <w:rsid w:val="008D7D01"/>
    <w:rsid w:val="008E410D"/>
    <w:rsid w:val="008F537E"/>
    <w:rsid w:val="00904018"/>
    <w:rsid w:val="009067E7"/>
    <w:rsid w:val="00906976"/>
    <w:rsid w:val="00906E22"/>
    <w:rsid w:val="00907C9C"/>
    <w:rsid w:val="00910857"/>
    <w:rsid w:val="00913EB6"/>
    <w:rsid w:val="009201DE"/>
    <w:rsid w:val="00925312"/>
    <w:rsid w:val="0092531F"/>
    <w:rsid w:val="00927714"/>
    <w:rsid w:val="00935754"/>
    <w:rsid w:val="00944EBB"/>
    <w:rsid w:val="009456E3"/>
    <w:rsid w:val="009574C2"/>
    <w:rsid w:val="00963174"/>
    <w:rsid w:val="00963577"/>
    <w:rsid w:val="00965A23"/>
    <w:rsid w:val="00981406"/>
    <w:rsid w:val="00985224"/>
    <w:rsid w:val="009968E4"/>
    <w:rsid w:val="009B017C"/>
    <w:rsid w:val="009B100C"/>
    <w:rsid w:val="009B10B0"/>
    <w:rsid w:val="009C0172"/>
    <w:rsid w:val="009C1E75"/>
    <w:rsid w:val="009D0874"/>
    <w:rsid w:val="009D12BA"/>
    <w:rsid w:val="009D2DB2"/>
    <w:rsid w:val="009D5BEC"/>
    <w:rsid w:val="009E1391"/>
    <w:rsid w:val="009E2ED5"/>
    <w:rsid w:val="009F39FB"/>
    <w:rsid w:val="00A06674"/>
    <w:rsid w:val="00A102B9"/>
    <w:rsid w:val="00A30361"/>
    <w:rsid w:val="00A326DD"/>
    <w:rsid w:val="00A33F2F"/>
    <w:rsid w:val="00A374D0"/>
    <w:rsid w:val="00A41661"/>
    <w:rsid w:val="00A419A9"/>
    <w:rsid w:val="00A41C23"/>
    <w:rsid w:val="00A45E31"/>
    <w:rsid w:val="00A469F1"/>
    <w:rsid w:val="00A50871"/>
    <w:rsid w:val="00A522EE"/>
    <w:rsid w:val="00A54DF3"/>
    <w:rsid w:val="00A55546"/>
    <w:rsid w:val="00A70079"/>
    <w:rsid w:val="00A77E73"/>
    <w:rsid w:val="00AA3E42"/>
    <w:rsid w:val="00AB600D"/>
    <w:rsid w:val="00AC2115"/>
    <w:rsid w:val="00AC476B"/>
    <w:rsid w:val="00AC4846"/>
    <w:rsid w:val="00AD052E"/>
    <w:rsid w:val="00AE1C2D"/>
    <w:rsid w:val="00AE5F8B"/>
    <w:rsid w:val="00B01A98"/>
    <w:rsid w:val="00B1036F"/>
    <w:rsid w:val="00B14E49"/>
    <w:rsid w:val="00B151BC"/>
    <w:rsid w:val="00B16383"/>
    <w:rsid w:val="00B166A9"/>
    <w:rsid w:val="00B1770B"/>
    <w:rsid w:val="00B205EB"/>
    <w:rsid w:val="00B26673"/>
    <w:rsid w:val="00B41446"/>
    <w:rsid w:val="00B44D99"/>
    <w:rsid w:val="00B45057"/>
    <w:rsid w:val="00B47F36"/>
    <w:rsid w:val="00B546D7"/>
    <w:rsid w:val="00B84BED"/>
    <w:rsid w:val="00B85B3E"/>
    <w:rsid w:val="00B9040C"/>
    <w:rsid w:val="00BA28B9"/>
    <w:rsid w:val="00BA4126"/>
    <w:rsid w:val="00BB6C1F"/>
    <w:rsid w:val="00BC0218"/>
    <w:rsid w:val="00BC0B4E"/>
    <w:rsid w:val="00BC118A"/>
    <w:rsid w:val="00BD38F9"/>
    <w:rsid w:val="00BD3AE1"/>
    <w:rsid w:val="00BD48C5"/>
    <w:rsid w:val="00BE1303"/>
    <w:rsid w:val="00BE5294"/>
    <w:rsid w:val="00C03BDD"/>
    <w:rsid w:val="00C2315E"/>
    <w:rsid w:val="00C3188E"/>
    <w:rsid w:val="00C340C6"/>
    <w:rsid w:val="00C538DC"/>
    <w:rsid w:val="00C75184"/>
    <w:rsid w:val="00C76B12"/>
    <w:rsid w:val="00C827A5"/>
    <w:rsid w:val="00C87D5F"/>
    <w:rsid w:val="00C94B5B"/>
    <w:rsid w:val="00CA5794"/>
    <w:rsid w:val="00CB5B6D"/>
    <w:rsid w:val="00CC4B07"/>
    <w:rsid w:val="00CC6278"/>
    <w:rsid w:val="00CD4B06"/>
    <w:rsid w:val="00CE68D8"/>
    <w:rsid w:val="00CF6AFF"/>
    <w:rsid w:val="00D00DEE"/>
    <w:rsid w:val="00D032E6"/>
    <w:rsid w:val="00D06BE4"/>
    <w:rsid w:val="00D170DF"/>
    <w:rsid w:val="00D24571"/>
    <w:rsid w:val="00D32905"/>
    <w:rsid w:val="00D3417E"/>
    <w:rsid w:val="00D47B23"/>
    <w:rsid w:val="00D5513E"/>
    <w:rsid w:val="00D61681"/>
    <w:rsid w:val="00D72262"/>
    <w:rsid w:val="00D8559D"/>
    <w:rsid w:val="00D85A3A"/>
    <w:rsid w:val="00D97585"/>
    <w:rsid w:val="00DA2A0C"/>
    <w:rsid w:val="00DA4445"/>
    <w:rsid w:val="00DA7932"/>
    <w:rsid w:val="00DB13FB"/>
    <w:rsid w:val="00DB1A96"/>
    <w:rsid w:val="00DB5F09"/>
    <w:rsid w:val="00DC3DC2"/>
    <w:rsid w:val="00DD3413"/>
    <w:rsid w:val="00DD773B"/>
    <w:rsid w:val="00DD79F8"/>
    <w:rsid w:val="00DE2BB8"/>
    <w:rsid w:val="00DE6281"/>
    <w:rsid w:val="00DE7C95"/>
    <w:rsid w:val="00DF352A"/>
    <w:rsid w:val="00E024F8"/>
    <w:rsid w:val="00E056DB"/>
    <w:rsid w:val="00E07E41"/>
    <w:rsid w:val="00E21F83"/>
    <w:rsid w:val="00E276B1"/>
    <w:rsid w:val="00E30A51"/>
    <w:rsid w:val="00E5482E"/>
    <w:rsid w:val="00E56EB0"/>
    <w:rsid w:val="00E64282"/>
    <w:rsid w:val="00E74145"/>
    <w:rsid w:val="00E8572F"/>
    <w:rsid w:val="00E86B97"/>
    <w:rsid w:val="00E90B13"/>
    <w:rsid w:val="00E971AB"/>
    <w:rsid w:val="00EA4BF6"/>
    <w:rsid w:val="00EA5777"/>
    <w:rsid w:val="00EB11FE"/>
    <w:rsid w:val="00EC0A8F"/>
    <w:rsid w:val="00EC3F23"/>
    <w:rsid w:val="00ED1860"/>
    <w:rsid w:val="00EE385D"/>
    <w:rsid w:val="00EE3FBA"/>
    <w:rsid w:val="00EF22AA"/>
    <w:rsid w:val="00EF3696"/>
    <w:rsid w:val="00EF36FD"/>
    <w:rsid w:val="00EF4881"/>
    <w:rsid w:val="00F067E6"/>
    <w:rsid w:val="00F077CF"/>
    <w:rsid w:val="00F113B1"/>
    <w:rsid w:val="00F11E6A"/>
    <w:rsid w:val="00F166C4"/>
    <w:rsid w:val="00F22392"/>
    <w:rsid w:val="00F25144"/>
    <w:rsid w:val="00F357E9"/>
    <w:rsid w:val="00F35B1A"/>
    <w:rsid w:val="00F41309"/>
    <w:rsid w:val="00F45E7A"/>
    <w:rsid w:val="00F52106"/>
    <w:rsid w:val="00F73A95"/>
    <w:rsid w:val="00F80232"/>
    <w:rsid w:val="00F83557"/>
    <w:rsid w:val="00F90146"/>
    <w:rsid w:val="00FB4B2B"/>
    <w:rsid w:val="00FD05B1"/>
    <w:rsid w:val="00FE0327"/>
    <w:rsid w:val="00FE1224"/>
    <w:rsid w:val="00FF0538"/>
    <w:rsid w:val="00FF2B93"/>
    <w:rsid w:val="00FF2EAE"/>
    <w:rsid w:val="00FF662D"/>
    <w:rsid w:val="0140027C"/>
    <w:rsid w:val="03910780"/>
    <w:rsid w:val="089A60E8"/>
    <w:rsid w:val="093A1D6E"/>
    <w:rsid w:val="09D5440C"/>
    <w:rsid w:val="0A7D4C6E"/>
    <w:rsid w:val="0B3C2CAF"/>
    <w:rsid w:val="0C0E4035"/>
    <w:rsid w:val="0DD437BD"/>
    <w:rsid w:val="0DE9464F"/>
    <w:rsid w:val="0F701A33"/>
    <w:rsid w:val="0F715A3B"/>
    <w:rsid w:val="10095CD4"/>
    <w:rsid w:val="110E2861"/>
    <w:rsid w:val="1131272A"/>
    <w:rsid w:val="14FE4FED"/>
    <w:rsid w:val="16CA4E16"/>
    <w:rsid w:val="16ED620C"/>
    <w:rsid w:val="18B31DA3"/>
    <w:rsid w:val="191104E0"/>
    <w:rsid w:val="1A144B7D"/>
    <w:rsid w:val="1B3D3264"/>
    <w:rsid w:val="1D1F49D0"/>
    <w:rsid w:val="1D250C94"/>
    <w:rsid w:val="1F90045C"/>
    <w:rsid w:val="223421E7"/>
    <w:rsid w:val="228717EB"/>
    <w:rsid w:val="25303BCA"/>
    <w:rsid w:val="25F26D95"/>
    <w:rsid w:val="26AA77A1"/>
    <w:rsid w:val="29576F45"/>
    <w:rsid w:val="2AD67235"/>
    <w:rsid w:val="2E7B0CB1"/>
    <w:rsid w:val="307C259A"/>
    <w:rsid w:val="3461558C"/>
    <w:rsid w:val="36515331"/>
    <w:rsid w:val="37320424"/>
    <w:rsid w:val="379563FC"/>
    <w:rsid w:val="38341D8C"/>
    <w:rsid w:val="3EAA5F55"/>
    <w:rsid w:val="3F0B1FF0"/>
    <w:rsid w:val="3FF9058E"/>
    <w:rsid w:val="403F7F7A"/>
    <w:rsid w:val="417F4259"/>
    <w:rsid w:val="455C57D4"/>
    <w:rsid w:val="45806C94"/>
    <w:rsid w:val="462A34C0"/>
    <w:rsid w:val="46681C03"/>
    <w:rsid w:val="470E5870"/>
    <w:rsid w:val="47AF7C94"/>
    <w:rsid w:val="4A235C7F"/>
    <w:rsid w:val="4ECE6932"/>
    <w:rsid w:val="525D4B2C"/>
    <w:rsid w:val="54554B15"/>
    <w:rsid w:val="5571402E"/>
    <w:rsid w:val="563E3921"/>
    <w:rsid w:val="574D795D"/>
    <w:rsid w:val="5786075F"/>
    <w:rsid w:val="5920073F"/>
    <w:rsid w:val="5B652F2B"/>
    <w:rsid w:val="5B816C04"/>
    <w:rsid w:val="5F6D01FA"/>
    <w:rsid w:val="5FFE3A34"/>
    <w:rsid w:val="628F4283"/>
    <w:rsid w:val="658403F4"/>
    <w:rsid w:val="65C27BEF"/>
    <w:rsid w:val="69343B84"/>
    <w:rsid w:val="6B70684C"/>
    <w:rsid w:val="6BC828CF"/>
    <w:rsid w:val="6EAA3BC3"/>
    <w:rsid w:val="6FA76398"/>
    <w:rsid w:val="710221D9"/>
    <w:rsid w:val="72CD7915"/>
    <w:rsid w:val="76806815"/>
    <w:rsid w:val="76875B55"/>
    <w:rsid w:val="79C44505"/>
    <w:rsid w:val="7D7F2DF3"/>
    <w:rsid w:val="7DE01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Date"/>
    <w:basedOn w:val="1"/>
    <w:next w:val="1"/>
    <w:link w:val="14"/>
    <w:semiHidden/>
    <w:unhideWhenUsed/>
    <w:qFormat/>
    <w:uiPriority w:val="99"/>
    <w:pPr>
      <w:ind w:left="100" w:leftChars="2500"/>
    </w:pPr>
  </w:style>
  <w:style w:type="paragraph" w:styleId="4">
    <w:name w:val="Balloon Text"/>
    <w:basedOn w:val="1"/>
    <w:link w:val="13"/>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customStyle="1" w:styleId="13">
    <w:name w:val="批注框文本 Char"/>
    <w:basedOn w:val="11"/>
    <w:link w:val="4"/>
    <w:semiHidden/>
    <w:qFormat/>
    <w:uiPriority w:val="99"/>
    <w:rPr>
      <w:sz w:val="18"/>
      <w:szCs w:val="18"/>
    </w:rPr>
  </w:style>
  <w:style w:type="character" w:customStyle="1" w:styleId="14">
    <w:name w:val="日期 Char"/>
    <w:basedOn w:val="11"/>
    <w:link w:val="3"/>
    <w:semiHidden/>
    <w:qFormat/>
    <w:uiPriority w:val="99"/>
  </w:style>
  <w:style w:type="paragraph" w:styleId="15">
    <w:name w:val="List Paragraph"/>
    <w:basedOn w:val="1"/>
    <w:qFormat/>
    <w:uiPriority w:val="99"/>
    <w:pPr>
      <w:ind w:firstLine="420" w:firstLineChars="200"/>
    </w:pPr>
  </w:style>
  <w:style w:type="character" w:customStyle="1" w:styleId="16">
    <w:name w:val="页眉 Char"/>
    <w:basedOn w:val="11"/>
    <w:link w:val="6"/>
    <w:qFormat/>
    <w:uiPriority w:val="99"/>
    <w:rPr>
      <w:sz w:val="18"/>
      <w:szCs w:val="18"/>
    </w:rPr>
  </w:style>
  <w:style w:type="character" w:customStyle="1" w:styleId="17">
    <w:name w:val="页脚 Char"/>
    <w:basedOn w:val="11"/>
    <w:link w:val="5"/>
    <w:qFormat/>
    <w:uiPriority w:val="99"/>
    <w:rPr>
      <w:sz w:val="18"/>
      <w:szCs w:val="18"/>
    </w:rPr>
  </w:style>
  <w:style w:type="paragraph" w:customStyle="1" w:styleId="1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标准文件_一级条标题"/>
    <w:basedOn w:val="20"/>
    <w:next w:val="18"/>
    <w:qFormat/>
    <w:uiPriority w:val="0"/>
    <w:pPr>
      <w:numPr>
        <w:ilvl w:val="2"/>
      </w:numPr>
      <w:spacing w:before="50" w:beforeLines="50" w:after="50" w:afterLines="50"/>
      <w:outlineLvl w:val="1"/>
    </w:pPr>
  </w:style>
  <w:style w:type="paragraph" w:customStyle="1" w:styleId="20">
    <w:name w:val="标准文件_章标题"/>
    <w:next w:val="1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21">
    <w:name w:val="fontstyle01"/>
    <w:basedOn w:val="11"/>
    <w:qFormat/>
    <w:uiPriority w:val="0"/>
    <w:rPr>
      <w:rFonts w:ascii="仿宋" w:hAnsi="仿宋" w:eastAsia="仿宋" w:cs="仿宋"/>
      <w:color w:val="000000"/>
      <w:sz w:val="22"/>
      <w:szCs w:val="22"/>
    </w:rPr>
  </w:style>
  <w:style w:type="character" w:customStyle="1" w:styleId="22">
    <w:name w:val="fontstyle21"/>
    <w:basedOn w:val="11"/>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FD352-9E7F-449D-8248-580E7BF3847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15</Pages>
  <Words>1481</Words>
  <Characters>8446</Characters>
  <Lines>70</Lines>
  <Paragraphs>19</Paragraphs>
  <TotalTime>20</TotalTime>
  <ScaleCrop>false</ScaleCrop>
  <LinksUpToDate>false</LinksUpToDate>
  <CharactersWithSpaces>9908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2018-07-08T03:17:00Z</dcterms:created>
  <dc:creator>Windows User</dc:creator>
  <cp:lastModifiedBy>guo.shuping</cp:lastModifiedBy>
  <cp:lastPrinted>2018-08-01T02:08:00Z</cp:lastPrinted>
  <dcterms:modified xsi:type="dcterms:W3CDTF">2022-08-01T08:59:21Z</dcterms:modified>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B85355CC56984AF29FBD9C62D7501984</vt:lpwstr>
  </property>
</Properties>
</file>